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sz w:val="12"/>
        </w:rPr>
        <w:id w:val="-623619851"/>
        <w:docPartObj>
          <w:docPartGallery w:val="Cover Pages"/>
          <w:docPartUnique/>
        </w:docPartObj>
      </w:sdtPr>
      <w:sdtEndPr>
        <w:rPr>
          <w:sz w:val="24"/>
        </w:rPr>
      </w:sdtEndPr>
      <w:sdtContent>
        <w:p w14:paraId="3F0829FA" w14:textId="77777777" w:rsidR="00415F0B" w:rsidRDefault="00415F0B">
          <w:pPr>
            <w:rPr>
              <w:sz w:val="12"/>
            </w:rPr>
          </w:pPr>
        </w:p>
        <w:p w14:paraId="3ED46774" w14:textId="77777777" w:rsidR="00BC21AA" w:rsidRDefault="00BC21AA">
          <w:pPr>
            <w:rPr>
              <w:sz w:val="12"/>
            </w:rPr>
          </w:pPr>
        </w:p>
        <w:p w14:paraId="2C4D7385" w14:textId="77777777" w:rsidR="00BC21AA" w:rsidRDefault="00BC21AA">
          <w:pPr>
            <w:rPr>
              <w:sz w:val="12"/>
            </w:rPr>
          </w:pPr>
        </w:p>
        <w:p w14:paraId="32557768" w14:textId="77777777" w:rsidR="00BC21AA" w:rsidRDefault="00BC21AA">
          <w:pPr>
            <w:rPr>
              <w:sz w:val="12"/>
            </w:rPr>
          </w:pPr>
        </w:p>
        <w:p w14:paraId="13D28C34" w14:textId="77777777" w:rsidR="00BC21AA" w:rsidRDefault="00BC21AA">
          <w:pPr>
            <w:rPr>
              <w:sz w:val="12"/>
            </w:rPr>
          </w:pPr>
        </w:p>
        <w:p w14:paraId="0F595BF1" w14:textId="77777777" w:rsidR="00BC21AA" w:rsidRDefault="00BC21AA">
          <w:pPr>
            <w:rPr>
              <w:sz w:val="12"/>
            </w:rPr>
          </w:pPr>
        </w:p>
        <w:p w14:paraId="7228F71A" w14:textId="77777777" w:rsidR="00BC21AA" w:rsidRDefault="00BC21AA">
          <w:pPr>
            <w:rPr>
              <w:sz w:val="12"/>
            </w:rPr>
          </w:pPr>
        </w:p>
        <w:p w14:paraId="289C9662" w14:textId="77777777" w:rsidR="00BC21AA" w:rsidRDefault="00BC21AA">
          <w:pPr>
            <w:rPr>
              <w:sz w:val="12"/>
            </w:rPr>
          </w:pPr>
        </w:p>
        <w:p w14:paraId="1A4203D9" w14:textId="77777777" w:rsidR="00BC21AA" w:rsidRDefault="00BC21AA">
          <w:pPr>
            <w:rPr>
              <w:sz w:val="12"/>
            </w:rPr>
          </w:pPr>
        </w:p>
        <w:p w14:paraId="719A51ED" w14:textId="77777777" w:rsidR="00BC21AA" w:rsidRDefault="00BC21AA">
          <w:pPr>
            <w:rPr>
              <w:sz w:val="12"/>
            </w:rPr>
          </w:pPr>
        </w:p>
        <w:p w14:paraId="4845F6D8" w14:textId="77777777" w:rsidR="00BC21AA" w:rsidRDefault="00BC21AA">
          <w:pPr>
            <w:rPr>
              <w:sz w:val="12"/>
            </w:rPr>
          </w:pPr>
        </w:p>
        <w:p w14:paraId="3F1B9F26" w14:textId="77777777" w:rsidR="00BC21AA" w:rsidRDefault="00BC21AA">
          <w:pPr>
            <w:rPr>
              <w:sz w:val="12"/>
            </w:rPr>
          </w:pPr>
        </w:p>
        <w:p w14:paraId="21B5571D" w14:textId="77777777" w:rsidR="00BC21AA" w:rsidRDefault="00BC21AA">
          <w:pPr>
            <w:rPr>
              <w:sz w:val="12"/>
            </w:rPr>
          </w:pPr>
        </w:p>
        <w:p w14:paraId="44DBB300" w14:textId="77777777" w:rsidR="00BC21AA" w:rsidRDefault="00BC21AA">
          <w:pPr>
            <w:rPr>
              <w:sz w:val="12"/>
            </w:rPr>
          </w:pPr>
        </w:p>
        <w:p w14:paraId="3B6EDB12" w14:textId="77777777" w:rsidR="00BC21AA" w:rsidRDefault="00BC21AA">
          <w:pPr>
            <w:rPr>
              <w:sz w:val="12"/>
            </w:rPr>
          </w:pPr>
        </w:p>
        <w:p w14:paraId="26D713BD" w14:textId="77777777" w:rsidR="00BC21AA" w:rsidRDefault="00BC21AA">
          <w:pPr>
            <w:rPr>
              <w:sz w:val="12"/>
            </w:rPr>
          </w:pPr>
        </w:p>
        <w:p w14:paraId="241CF71A" w14:textId="77777777" w:rsidR="00BC21AA" w:rsidRDefault="00BC21AA">
          <w:pPr>
            <w:rPr>
              <w:sz w:val="12"/>
            </w:rPr>
          </w:pPr>
        </w:p>
        <w:p w14:paraId="06407831" w14:textId="77777777" w:rsidR="00BC21AA" w:rsidRDefault="00BC21AA">
          <w:pPr>
            <w:rPr>
              <w:sz w:val="12"/>
            </w:rPr>
          </w:pPr>
        </w:p>
        <w:p w14:paraId="724F97CF" w14:textId="77777777" w:rsidR="00BC21AA" w:rsidRDefault="00BC21AA">
          <w:pPr>
            <w:rPr>
              <w:sz w:val="12"/>
            </w:rPr>
          </w:pPr>
        </w:p>
        <w:p w14:paraId="727FE040" w14:textId="77777777" w:rsidR="00BC21AA" w:rsidRDefault="00BC21AA">
          <w:pPr>
            <w:rPr>
              <w:sz w:val="12"/>
            </w:rPr>
          </w:pPr>
        </w:p>
        <w:p w14:paraId="2ECAE16D" w14:textId="77777777" w:rsidR="00BC21AA" w:rsidRDefault="00BC21AA">
          <w:pPr>
            <w:rPr>
              <w:sz w:val="12"/>
            </w:rPr>
          </w:pPr>
        </w:p>
        <w:p w14:paraId="6CACFA1E" w14:textId="77777777" w:rsidR="00BC21AA" w:rsidRDefault="00BC21AA">
          <w:pPr>
            <w:rPr>
              <w:sz w:val="12"/>
            </w:rPr>
          </w:pPr>
        </w:p>
        <w:p w14:paraId="52B9E728" w14:textId="77777777" w:rsidR="00BC21AA" w:rsidRDefault="00BC21AA">
          <w:pPr>
            <w:rPr>
              <w:sz w:val="12"/>
            </w:rPr>
          </w:pPr>
        </w:p>
        <w:p w14:paraId="40E5C518" w14:textId="77777777" w:rsidR="00BC21AA" w:rsidRDefault="00BC21AA">
          <w:pPr>
            <w:rPr>
              <w:sz w:val="12"/>
            </w:rPr>
          </w:pPr>
        </w:p>
        <w:p w14:paraId="49C70235" w14:textId="77777777" w:rsidR="00BC21AA" w:rsidRDefault="00BC21AA">
          <w:pPr>
            <w:rPr>
              <w:sz w:val="12"/>
            </w:rPr>
          </w:pPr>
        </w:p>
        <w:p w14:paraId="72AC98F2" w14:textId="77777777" w:rsidR="00BC21AA" w:rsidRDefault="00BC21AA">
          <w:pPr>
            <w:rPr>
              <w:sz w:val="12"/>
            </w:rPr>
          </w:pPr>
        </w:p>
        <w:p w14:paraId="6274791E" w14:textId="77777777" w:rsidR="00BC21AA" w:rsidRDefault="00BC21AA">
          <w:pPr>
            <w:rPr>
              <w:sz w:val="12"/>
            </w:rPr>
          </w:pPr>
        </w:p>
        <w:p w14:paraId="295761D2" w14:textId="77777777" w:rsidR="00BC21AA" w:rsidRDefault="00BC21AA">
          <w:pPr>
            <w:rPr>
              <w:sz w:val="12"/>
            </w:rPr>
          </w:pPr>
        </w:p>
        <w:p w14:paraId="18507AAD" w14:textId="77777777" w:rsidR="00BC21AA" w:rsidRPr="00327182" w:rsidRDefault="00BC21AA">
          <w:pPr>
            <w:rPr>
              <w:sz w:val="12"/>
            </w:rPr>
          </w:pPr>
        </w:p>
        <w:p w14:paraId="373F2A92" w14:textId="0E4F1CAF" w:rsidR="00415F0B" w:rsidRPr="00F07E89" w:rsidRDefault="00F07E89" w:rsidP="00BC21AA">
          <w:pPr>
            <w:pBdr>
              <w:left w:val="single" w:sz="24" w:space="4" w:color="8DB3E2" w:themeColor="text2" w:themeTint="66"/>
              <w:bottom w:val="single" w:sz="8" w:space="6" w:color="365F91" w:themeColor="accent1" w:themeShade="BF"/>
            </w:pBdr>
            <w:spacing w:after="60"/>
            <w:jc w:val="center"/>
            <w:rPr>
              <w:rFonts w:asciiTheme="majorHAnsi" w:eastAsiaTheme="majorEastAsia" w:hAnsiTheme="majorHAnsi" w:cstheme="majorBidi"/>
              <w:b/>
              <w:i/>
              <w:sz w:val="48"/>
              <w:szCs w:val="48"/>
            </w:rPr>
          </w:pPr>
          <w:sdt>
            <w:sdtPr>
              <w:rPr>
                <w:rFonts w:asciiTheme="majorHAnsi" w:eastAsiaTheme="majorEastAsia" w:hAnsiTheme="majorHAnsi" w:cstheme="majorBidi"/>
                <w:b/>
                <w:i/>
                <w:sz w:val="48"/>
                <w:szCs w:val="48"/>
              </w:rPr>
              <w:alias w:val="Title"/>
              <w:tag w:val=""/>
              <w:id w:val="1786233606"/>
              <w:dataBinding w:prefixMappings="xmlns:ns0='http://purl.org/dc/elements/1.1/' xmlns:ns1='http://schemas.openxmlformats.org/package/2006/metadata/core-properties' " w:xpath="/ns1:coreProperties[1]/ns0:title[1]" w:storeItemID="{6C3C8BC8-F283-45AE-878A-BAB7291924A1}"/>
              <w:text/>
            </w:sdtPr>
            <w:sdtEndPr/>
            <w:sdtContent>
              <w:r w:rsidR="00A33149" w:rsidRPr="00F07E89">
                <w:rPr>
                  <w:rFonts w:asciiTheme="majorHAnsi" w:eastAsiaTheme="majorEastAsia" w:hAnsiTheme="majorHAnsi" w:cstheme="majorBidi"/>
                  <w:b/>
                  <w:i/>
                  <w:sz w:val="48"/>
                  <w:szCs w:val="48"/>
                </w:rPr>
                <w:t>United States v. Bravo-Fernandez</w:t>
              </w:r>
            </w:sdtContent>
          </w:sdt>
        </w:p>
        <w:sdt>
          <w:sdtPr>
            <w:rPr>
              <w:rFonts w:asciiTheme="majorHAnsi" w:hAnsiTheme="majorHAnsi"/>
              <w:noProof/>
              <w:sz w:val="36"/>
              <w:szCs w:val="32"/>
            </w:rPr>
            <w:alias w:val="Subtitle"/>
            <w:tag w:val="Subtitle"/>
            <w:id w:val="30555238"/>
            <w:text/>
          </w:sdtPr>
          <w:sdtEndPr/>
          <w:sdtContent>
            <w:p w14:paraId="0D50F936" w14:textId="7EC57388" w:rsidR="00415F0B" w:rsidRPr="00327182" w:rsidRDefault="00A33149" w:rsidP="00BC21AA">
              <w:pPr>
                <w:pBdr>
                  <w:left w:val="single" w:sz="24" w:space="4" w:color="8DB3E2" w:themeColor="text2" w:themeTint="66"/>
                  <w:bottom w:val="single" w:sz="8" w:space="6" w:color="365F91" w:themeColor="accent1" w:themeShade="BF"/>
                </w:pBdr>
                <w:contextualSpacing/>
                <w:jc w:val="center"/>
                <w:rPr>
                  <w:rFonts w:asciiTheme="majorHAnsi" w:hAnsiTheme="majorHAnsi"/>
                  <w:noProof/>
                  <w:sz w:val="36"/>
                  <w:szCs w:val="32"/>
                </w:rPr>
              </w:pPr>
              <w:r w:rsidRPr="00327182">
                <w:rPr>
                  <w:rFonts w:asciiTheme="majorHAnsi" w:hAnsiTheme="majorHAnsi"/>
                  <w:noProof/>
                  <w:sz w:val="36"/>
                  <w:szCs w:val="32"/>
                </w:rPr>
                <w:t xml:space="preserve">The Dilemma of </w:t>
              </w:r>
              <w:r w:rsidR="00723E9C" w:rsidRPr="00327182">
                <w:rPr>
                  <w:rFonts w:asciiTheme="majorHAnsi" w:hAnsiTheme="majorHAnsi"/>
                  <w:noProof/>
                  <w:sz w:val="36"/>
                  <w:szCs w:val="32"/>
                </w:rPr>
                <w:t>the Court and</w:t>
              </w:r>
              <w:r w:rsidR="000E776C" w:rsidRPr="00327182">
                <w:rPr>
                  <w:rFonts w:asciiTheme="majorHAnsi" w:hAnsiTheme="majorHAnsi"/>
                  <w:noProof/>
                  <w:sz w:val="36"/>
                  <w:szCs w:val="32"/>
                </w:rPr>
                <w:t xml:space="preserve"> </w:t>
              </w:r>
              <w:r w:rsidRPr="00327182">
                <w:rPr>
                  <w:rFonts w:asciiTheme="majorHAnsi" w:hAnsiTheme="majorHAnsi"/>
                  <w:noProof/>
                  <w:sz w:val="36"/>
                  <w:szCs w:val="32"/>
                </w:rPr>
                <w:t>Collateral Estoppel</w:t>
              </w:r>
            </w:p>
          </w:sdtContent>
        </w:sdt>
        <w:p w14:paraId="76753BBE" w14:textId="19851678" w:rsidR="00415F0B" w:rsidRPr="00327182" w:rsidRDefault="00F07E89" w:rsidP="00BC21AA">
          <w:pPr>
            <w:pBdr>
              <w:left w:val="single" w:sz="24" w:space="4" w:color="D99594" w:themeColor="accent2" w:themeTint="99"/>
            </w:pBdr>
            <w:spacing w:before="120" w:after="120"/>
            <w:jc w:val="center"/>
            <w:rPr>
              <w:rFonts w:asciiTheme="majorHAnsi" w:hAnsiTheme="majorHAnsi"/>
              <w:noProof/>
              <w:sz w:val="28"/>
            </w:rPr>
          </w:pPr>
          <w:sdt>
            <w:sdtPr>
              <w:rPr>
                <w:rFonts w:asciiTheme="majorHAnsi" w:hAnsiTheme="majorHAnsi"/>
                <w:noProof/>
                <w:sz w:val="28"/>
              </w:rPr>
              <w:alias w:val="Author"/>
              <w:id w:val="30555239"/>
              <w:dataBinding w:prefixMappings="xmlns:ns0='http://purl.org/dc/elements/1.1/' xmlns:ns1='http://schemas.openxmlformats.org/package/2006/metadata/core-properties' " w:xpath="/ns1:coreProperties[1]/ns0:creator[1]" w:storeItemID="{6C3C8BC8-F283-45AE-878A-BAB7291924A1}"/>
              <w:text/>
            </w:sdtPr>
            <w:sdtEndPr/>
            <w:sdtContent>
              <w:r w:rsidR="00BC21AA">
                <w:rPr>
                  <w:rFonts w:asciiTheme="majorHAnsi" w:hAnsiTheme="majorHAnsi"/>
                  <w:noProof/>
                  <w:sz w:val="28"/>
                </w:rPr>
                <w:t>Applicant</w:t>
              </w:r>
              <w:r w:rsidR="00415F0B" w:rsidRPr="00327182">
                <w:rPr>
                  <w:rFonts w:asciiTheme="majorHAnsi" w:hAnsiTheme="majorHAnsi"/>
                  <w:noProof/>
                  <w:sz w:val="28"/>
                </w:rPr>
                <w:t xml:space="preserve"> Number </w:t>
              </w:r>
              <w:r w:rsidR="005A6F8A" w:rsidRPr="00327182">
                <w:rPr>
                  <w:rFonts w:asciiTheme="majorHAnsi" w:hAnsiTheme="majorHAnsi"/>
                  <w:noProof/>
                  <w:sz w:val="28"/>
                </w:rPr>
                <w:t>120</w:t>
              </w:r>
            </w:sdtContent>
          </w:sdt>
        </w:p>
        <w:p w14:paraId="0A81F1E5" w14:textId="77777777" w:rsidR="005A6F8A" w:rsidRDefault="005A6F8A">
          <w:pPr>
            <w:rPr>
              <w:rFonts w:asciiTheme="majorHAnsi" w:hAnsiTheme="majorHAnsi"/>
              <w:color w:val="000000" w:themeColor="text1"/>
              <w:sz w:val="28"/>
            </w:rPr>
          </w:pPr>
        </w:p>
        <w:p w14:paraId="36299A0F" w14:textId="77777777" w:rsidR="005A6F8A" w:rsidRDefault="005A6F8A">
          <w:pPr>
            <w:rPr>
              <w:rFonts w:asciiTheme="majorHAnsi" w:hAnsiTheme="majorHAnsi"/>
              <w:color w:val="000000" w:themeColor="text1"/>
              <w:sz w:val="28"/>
            </w:rPr>
          </w:pPr>
        </w:p>
        <w:p w14:paraId="7508104E" w14:textId="77777777" w:rsidR="005A6F8A" w:rsidRDefault="005A6F8A">
          <w:pPr>
            <w:rPr>
              <w:rFonts w:asciiTheme="majorHAnsi" w:hAnsiTheme="majorHAnsi"/>
              <w:color w:val="000000" w:themeColor="text1"/>
              <w:sz w:val="28"/>
            </w:rPr>
          </w:pPr>
        </w:p>
        <w:p w14:paraId="51667EE4" w14:textId="77777777" w:rsidR="005A6F8A" w:rsidRDefault="005A6F8A">
          <w:pPr>
            <w:rPr>
              <w:rFonts w:asciiTheme="majorHAnsi" w:hAnsiTheme="majorHAnsi"/>
              <w:color w:val="000000" w:themeColor="text1"/>
              <w:sz w:val="28"/>
            </w:rPr>
          </w:pPr>
          <w:bookmarkStart w:id="0" w:name="_GoBack"/>
          <w:bookmarkEnd w:id="0"/>
        </w:p>
        <w:p w14:paraId="641EC2B9" w14:textId="77777777" w:rsidR="005A6F8A" w:rsidRDefault="005A6F8A">
          <w:pPr>
            <w:rPr>
              <w:rFonts w:asciiTheme="majorHAnsi" w:hAnsiTheme="majorHAnsi"/>
              <w:color w:val="000000" w:themeColor="text1"/>
              <w:sz w:val="28"/>
            </w:rPr>
          </w:pPr>
        </w:p>
        <w:p w14:paraId="0B212181" w14:textId="77777777" w:rsidR="005A6F8A" w:rsidRDefault="005A6F8A">
          <w:pPr>
            <w:rPr>
              <w:rFonts w:asciiTheme="majorHAnsi" w:hAnsiTheme="majorHAnsi"/>
              <w:color w:val="000000" w:themeColor="text1"/>
              <w:sz w:val="28"/>
            </w:rPr>
          </w:pPr>
        </w:p>
        <w:p w14:paraId="110F13BA" w14:textId="77777777" w:rsidR="005A6F8A" w:rsidRDefault="005A6F8A">
          <w:pPr>
            <w:rPr>
              <w:rFonts w:asciiTheme="majorHAnsi" w:hAnsiTheme="majorHAnsi"/>
              <w:color w:val="000000" w:themeColor="text1"/>
              <w:sz w:val="28"/>
            </w:rPr>
          </w:pPr>
        </w:p>
        <w:p w14:paraId="0A749373" w14:textId="77777777" w:rsidR="005A6F8A" w:rsidRDefault="005A6F8A">
          <w:pPr>
            <w:rPr>
              <w:rFonts w:asciiTheme="majorHAnsi" w:hAnsiTheme="majorHAnsi"/>
              <w:color w:val="000000" w:themeColor="text1"/>
              <w:sz w:val="28"/>
            </w:rPr>
          </w:pPr>
        </w:p>
        <w:p w14:paraId="35496431" w14:textId="77777777" w:rsidR="005A6F8A" w:rsidRDefault="005A6F8A">
          <w:pPr>
            <w:rPr>
              <w:rFonts w:asciiTheme="majorHAnsi" w:hAnsiTheme="majorHAnsi"/>
              <w:color w:val="000000" w:themeColor="text1"/>
              <w:sz w:val="28"/>
            </w:rPr>
          </w:pPr>
        </w:p>
        <w:p w14:paraId="5B95753B" w14:textId="77777777" w:rsidR="005A6F8A" w:rsidRDefault="005A6F8A">
          <w:pPr>
            <w:rPr>
              <w:rFonts w:asciiTheme="majorHAnsi" w:hAnsiTheme="majorHAnsi"/>
              <w:color w:val="000000" w:themeColor="text1"/>
              <w:sz w:val="28"/>
            </w:rPr>
          </w:pPr>
        </w:p>
        <w:p w14:paraId="0FBF3293" w14:textId="77777777" w:rsidR="005A6F8A" w:rsidRDefault="005A6F8A">
          <w:pPr>
            <w:rPr>
              <w:rFonts w:asciiTheme="majorHAnsi" w:hAnsiTheme="majorHAnsi"/>
              <w:color w:val="000000" w:themeColor="text1"/>
              <w:sz w:val="28"/>
            </w:rPr>
          </w:pPr>
        </w:p>
        <w:p w14:paraId="3503F896" w14:textId="77777777" w:rsidR="005A6F8A" w:rsidRDefault="005A6F8A">
          <w:pPr>
            <w:rPr>
              <w:rFonts w:asciiTheme="majorHAnsi" w:hAnsiTheme="majorHAnsi"/>
              <w:color w:val="000000" w:themeColor="text1"/>
              <w:sz w:val="28"/>
            </w:rPr>
          </w:pPr>
        </w:p>
        <w:p w14:paraId="74645B65" w14:textId="77777777" w:rsidR="005A6F8A" w:rsidRDefault="005A6F8A">
          <w:pPr>
            <w:rPr>
              <w:rFonts w:asciiTheme="majorHAnsi" w:hAnsiTheme="majorHAnsi"/>
              <w:color w:val="000000" w:themeColor="text1"/>
              <w:sz w:val="28"/>
            </w:rPr>
          </w:pPr>
        </w:p>
        <w:p w14:paraId="491327C7" w14:textId="77777777" w:rsidR="005A6F8A" w:rsidRDefault="005A6F8A">
          <w:pPr>
            <w:rPr>
              <w:rFonts w:asciiTheme="majorHAnsi" w:hAnsiTheme="majorHAnsi"/>
              <w:color w:val="000000" w:themeColor="text1"/>
              <w:sz w:val="28"/>
            </w:rPr>
          </w:pPr>
        </w:p>
        <w:p w14:paraId="7EE9E152" w14:textId="77777777" w:rsidR="005A6F8A" w:rsidRDefault="005A6F8A"/>
        <w:p w14:paraId="6D75F36F" w14:textId="77777777" w:rsidR="00415F0B" w:rsidRDefault="00415F0B">
          <w:r>
            <w:br w:type="page"/>
          </w:r>
        </w:p>
      </w:sdtContent>
    </w:sdt>
    <w:p w14:paraId="6108D1D9" w14:textId="33489F7D" w:rsidR="004F2839" w:rsidRDefault="004F2839" w:rsidP="004F2839">
      <w:pPr>
        <w:ind w:firstLine="720"/>
        <w:jc w:val="both"/>
      </w:pPr>
      <w:r>
        <w:lastRenderedPageBreak/>
        <w:t>Almost everyone knows</w:t>
      </w:r>
      <w:r w:rsidR="00825962">
        <w:t xml:space="preserve"> that</w:t>
      </w:r>
      <w:r>
        <w:t xml:space="preserve"> you can’t be charged with the same crime twice, but what exactly does that mean?  </w:t>
      </w:r>
      <w:r w:rsidR="00D80F52">
        <w:t xml:space="preserve">Here’s a simple question: If an offender performs several criminal acts at the same time, </w:t>
      </w:r>
      <w:r w:rsidR="004039C0">
        <w:t>should</w:t>
      </w:r>
      <w:r w:rsidR="00D80F52">
        <w:t xml:space="preserve"> they get charged for each criminal act separately or combined? </w:t>
      </w:r>
      <w:r w:rsidR="005A6F8A">
        <w:t xml:space="preserve"> </w:t>
      </w:r>
      <w:r w:rsidR="004039C0">
        <w:t xml:space="preserve">What if they were charged with three counts at once, acquitted for two, and the last count was </w:t>
      </w:r>
      <w:r w:rsidR="004F178E">
        <w:t xml:space="preserve">a </w:t>
      </w:r>
      <w:r w:rsidR="004039C0">
        <w:t xml:space="preserve">vacated </w:t>
      </w:r>
      <w:r w:rsidR="004F178E">
        <w:t xml:space="preserve">conviction </w:t>
      </w:r>
      <w:r w:rsidR="004039C0">
        <w:t xml:space="preserve">due to a mistrial?  Should the government be able to </w:t>
      </w:r>
      <w:r w:rsidR="004F178E">
        <w:t>litigate</w:t>
      </w:r>
      <w:r w:rsidR="004039C0">
        <w:t xml:space="preserve"> the exact same issue</w:t>
      </w:r>
      <w:r w:rsidR="004F178E">
        <w:t xml:space="preserve"> </w:t>
      </w:r>
      <w:r w:rsidR="004039C0">
        <w:t>again, against the exact same defendant, even though they were acquitted for two of three</w:t>
      </w:r>
      <w:r w:rsidR="00A33149">
        <w:t xml:space="preserve"> related </w:t>
      </w:r>
      <w:r w:rsidR="004039C0">
        <w:t xml:space="preserve">criminal charges? </w:t>
      </w:r>
    </w:p>
    <w:p w14:paraId="5A0DBD4A" w14:textId="5CD7F367" w:rsidR="00D80F52" w:rsidRDefault="00415F0B" w:rsidP="004F178E">
      <w:pPr>
        <w:ind w:firstLine="720"/>
        <w:jc w:val="both"/>
      </w:pPr>
      <w:r>
        <w:t>Double Jeopardy is a clause within the Fifth Amendment that has been rooted in the United States court</w:t>
      </w:r>
      <w:r w:rsidR="00D80F52">
        <w:t xml:space="preserve"> system since as early as 1776.</w:t>
      </w:r>
      <w:r w:rsidRPr="00415F0B">
        <w:rPr>
          <w:vertAlign w:val="superscript"/>
        </w:rPr>
        <w:t>1</w:t>
      </w:r>
      <w:r>
        <w:t xml:space="preserve"> </w:t>
      </w:r>
      <w:r w:rsidR="00D80F52">
        <w:t xml:space="preserve"> </w:t>
      </w:r>
      <w:r w:rsidR="00A33149">
        <w:t>Since then, t</w:t>
      </w:r>
      <w:r>
        <w:t xml:space="preserve">he </w:t>
      </w:r>
      <w:r w:rsidR="00D80F52">
        <w:t>clause has</w:t>
      </w:r>
      <w:r w:rsidR="00A33149">
        <w:t xml:space="preserve"> been continuously </w:t>
      </w:r>
      <w:r w:rsidR="00D80F52">
        <w:t xml:space="preserve">refined with the increased complexity of this age.  Double Jeopardy prohibits people from </w:t>
      </w:r>
      <w:r w:rsidR="00825962">
        <w:t>being subjected to</w:t>
      </w:r>
      <w:r w:rsidR="00D80F52">
        <w:t xml:space="preserve"> punishment for the same offense twice.</w:t>
      </w:r>
      <w:r w:rsidR="00D80F52" w:rsidRPr="004039C0">
        <w:rPr>
          <w:vertAlign w:val="superscript"/>
        </w:rPr>
        <w:t>2</w:t>
      </w:r>
      <w:r w:rsidR="00D80F52">
        <w:t xml:space="preserve">  Incorporated </w:t>
      </w:r>
      <w:r w:rsidR="005A6F8A">
        <w:t>into the Double Jeopardy Clause</w:t>
      </w:r>
      <w:r w:rsidR="00D80F52">
        <w:t xml:space="preserve"> is the Doctrine of Collateral Estoppel, which states that an issu</w:t>
      </w:r>
      <w:r w:rsidR="0072431E">
        <w:t xml:space="preserve">e of ultimate fact may not be </w:t>
      </w:r>
      <w:r w:rsidR="00D80F52">
        <w:t>litigated</w:t>
      </w:r>
      <w:r w:rsidR="0072431E">
        <w:t xml:space="preserve"> twice</w:t>
      </w:r>
      <w:r w:rsidR="00D80F52">
        <w:t>, by the same parties, once the jury has determined</w:t>
      </w:r>
      <w:r w:rsidR="004039C0">
        <w:t xml:space="preserve"> this fact by a final judgment.</w:t>
      </w:r>
      <w:r w:rsidR="004039C0">
        <w:rPr>
          <w:vertAlign w:val="superscript"/>
        </w:rPr>
        <w:t>3</w:t>
      </w:r>
      <w:r w:rsidR="004039C0">
        <w:t xml:space="preserve">  These two principles of law </w:t>
      </w:r>
      <w:r w:rsidR="005A6F8A">
        <w:t>form</w:t>
      </w:r>
      <w:r w:rsidR="004039C0">
        <w:t xml:space="preserve"> the basis of </w:t>
      </w:r>
      <w:r w:rsidR="004039C0" w:rsidRPr="004039C0">
        <w:rPr>
          <w:i/>
        </w:rPr>
        <w:t>United States  v. Bravo-Fernandez</w:t>
      </w:r>
      <w:r w:rsidR="005A6F8A">
        <w:t>.</w:t>
      </w:r>
      <w:r w:rsidR="00EA1942" w:rsidRPr="00EA1942">
        <w:rPr>
          <w:vertAlign w:val="superscript"/>
        </w:rPr>
        <w:t xml:space="preserve"> </w:t>
      </w:r>
      <w:r w:rsidR="00EA1942">
        <w:rPr>
          <w:vertAlign w:val="superscript"/>
        </w:rPr>
        <w:t>4</w:t>
      </w:r>
      <w:r w:rsidR="005A6F8A">
        <w:t xml:space="preserve"> </w:t>
      </w:r>
    </w:p>
    <w:p w14:paraId="688CD9C6" w14:textId="77777777" w:rsidR="004F178E" w:rsidRDefault="004F178E" w:rsidP="004F178E">
      <w:pPr>
        <w:ind w:firstLine="720"/>
        <w:jc w:val="both"/>
      </w:pPr>
    </w:p>
    <w:p w14:paraId="5C23AD0D" w14:textId="77777777" w:rsidR="00D80F52" w:rsidRPr="00ED23BC" w:rsidRDefault="005A6F8A" w:rsidP="005A6F8A">
      <w:pPr>
        <w:jc w:val="center"/>
        <w:rPr>
          <w:b/>
          <w:sz w:val="28"/>
        </w:rPr>
      </w:pPr>
      <w:r w:rsidRPr="00ED23BC">
        <w:rPr>
          <w:b/>
          <w:sz w:val="28"/>
        </w:rPr>
        <w:t>Background Information</w:t>
      </w:r>
    </w:p>
    <w:p w14:paraId="5BE12398" w14:textId="44EF1C04" w:rsidR="00C01494" w:rsidRPr="00ED23BC" w:rsidRDefault="0018097E">
      <w:pPr>
        <w:rPr>
          <w:b/>
        </w:rPr>
      </w:pPr>
      <w:r w:rsidRPr="00ED23BC">
        <w:rPr>
          <w:b/>
        </w:rPr>
        <w:t xml:space="preserve">1. </w:t>
      </w:r>
      <w:r w:rsidR="00331E26" w:rsidRPr="00ED23BC">
        <w:rPr>
          <w:b/>
        </w:rPr>
        <w:t>Statement of Facts</w:t>
      </w:r>
    </w:p>
    <w:p w14:paraId="2CF1982A" w14:textId="77777777" w:rsidR="00ED23BC" w:rsidRPr="00331E26" w:rsidRDefault="00ED23BC">
      <w:pPr>
        <w:rPr>
          <w:u w:val="single"/>
        </w:rPr>
      </w:pPr>
    </w:p>
    <w:p w14:paraId="6BC567F3" w14:textId="46B83A84" w:rsidR="00AA4A05" w:rsidRDefault="00AA4A05" w:rsidP="0018097E">
      <w:pPr>
        <w:ind w:firstLine="720"/>
        <w:jc w:val="both"/>
      </w:pPr>
      <w:r>
        <w:t xml:space="preserve">In </w:t>
      </w:r>
      <w:r>
        <w:rPr>
          <w:i/>
        </w:rPr>
        <w:t>United States v. Bravo-Fernandez</w:t>
      </w:r>
      <w:r>
        <w:t xml:space="preserve">, </w:t>
      </w:r>
      <w:r w:rsidR="008B6691">
        <w:t>a</w:t>
      </w:r>
      <w:r w:rsidR="009D4F0E">
        <w:t xml:space="preserve"> businessman and a Congressman, both</w:t>
      </w:r>
      <w:r>
        <w:t xml:space="preserve"> fr</w:t>
      </w:r>
      <w:r w:rsidR="004D0156">
        <w:t>om Puerto Rico were convicted</w:t>
      </w:r>
      <w:r w:rsidR="009D4F0E">
        <w:t xml:space="preserve"> with</w:t>
      </w:r>
      <w:r>
        <w:t xml:space="preserve"> conspiracy, federal bribery, and violating the Travel Act.</w:t>
      </w:r>
      <w:r w:rsidR="00CE1646">
        <w:rPr>
          <w:vertAlign w:val="superscript"/>
        </w:rPr>
        <w:t>5</w:t>
      </w:r>
      <w:r>
        <w:t xml:space="preserve">   The events began in e</w:t>
      </w:r>
      <w:r w:rsidR="00744C97">
        <w:t>arly 2005 when Bravo-Fernandez</w:t>
      </w:r>
      <w:r w:rsidR="00CE1646">
        <w:t>,</w:t>
      </w:r>
      <w:r w:rsidR="001F5F42">
        <w:t xml:space="preserve"> “Bravo</w:t>
      </w:r>
      <w:r w:rsidR="00744C97">
        <w:t>”</w:t>
      </w:r>
      <w:r w:rsidR="001F5F42">
        <w:t>,</w:t>
      </w:r>
      <w:r w:rsidR="00CE1646">
        <w:t xml:space="preserve"> </w:t>
      </w:r>
      <w:r>
        <w:t xml:space="preserve">the president of a private security service firm, began advocating </w:t>
      </w:r>
      <w:r w:rsidR="00744C97">
        <w:t>increased security in Puerto Rico to Martinez</w:t>
      </w:r>
      <w:r w:rsidR="004E480A">
        <w:t>-Maldonado</w:t>
      </w:r>
      <w:r w:rsidR="00CE1646">
        <w:t>,</w:t>
      </w:r>
      <w:r w:rsidR="001F5F42">
        <w:t xml:space="preserve"> “Martinez</w:t>
      </w:r>
      <w:r w:rsidR="004E480A">
        <w:t>”</w:t>
      </w:r>
      <w:r w:rsidR="001F5F42">
        <w:t>,</w:t>
      </w:r>
      <w:r w:rsidR="00744C97">
        <w:t xml:space="preserve"> a senator assigned </w:t>
      </w:r>
      <w:r w:rsidR="00CE1646">
        <w:t>to the Public Safety Committee.</w:t>
      </w:r>
      <w:r w:rsidR="00CE1646">
        <w:rPr>
          <w:vertAlign w:val="superscript"/>
        </w:rPr>
        <w:t>6</w:t>
      </w:r>
      <w:r w:rsidR="00CE1646">
        <w:t xml:space="preserve">  M</w:t>
      </w:r>
      <w:r w:rsidR="00744C97">
        <w:t xml:space="preserve">artinez </w:t>
      </w:r>
      <w:r w:rsidR="009D4F0E">
        <w:t>initiated</w:t>
      </w:r>
      <w:r w:rsidR="00744C97">
        <w:t xml:space="preserve"> bills regarding the security industry that would substantially ben</w:t>
      </w:r>
      <w:r w:rsidR="00CE1646">
        <w:t>efit Bravo’s firm.</w:t>
      </w:r>
      <w:r w:rsidR="00CE1646" w:rsidRPr="00CE1646">
        <w:rPr>
          <w:vertAlign w:val="superscript"/>
        </w:rPr>
        <w:t xml:space="preserve"> </w:t>
      </w:r>
      <w:r w:rsidR="00CE1646">
        <w:rPr>
          <w:vertAlign w:val="superscript"/>
        </w:rPr>
        <w:t>7</w:t>
      </w:r>
      <w:r w:rsidR="009D4F0E">
        <w:t xml:space="preserve">  In the meantime</w:t>
      </w:r>
      <w:r w:rsidR="00744C97">
        <w:t>, Bravo planned a luxurious trip for Martinez, another senator</w:t>
      </w:r>
      <w:r w:rsidR="00EF0433">
        <w:t xml:space="preserve"> named de Castro Font</w:t>
      </w:r>
      <w:r w:rsidR="00744C97">
        <w:t>, and himself to see a</w:t>
      </w:r>
      <w:r w:rsidR="00CE1646">
        <w:t xml:space="preserve"> boxing match in Las Vegas.</w:t>
      </w:r>
      <w:r w:rsidR="00CE1646">
        <w:rPr>
          <w:vertAlign w:val="superscript"/>
        </w:rPr>
        <w:t>8</w:t>
      </w:r>
      <w:r w:rsidR="00744C97">
        <w:t xml:space="preserve">  Bravo financed all related expenses including first class airfare, three separate ho</w:t>
      </w:r>
      <w:r w:rsidR="00CE1646">
        <w:t>tel rooms, and fine dining.</w:t>
      </w:r>
      <w:r w:rsidR="00CE1646">
        <w:rPr>
          <w:vertAlign w:val="superscript"/>
        </w:rPr>
        <w:t>9</w:t>
      </w:r>
      <w:r w:rsidR="00744C97">
        <w:t xml:space="preserve">  </w:t>
      </w:r>
      <w:r w:rsidR="00EF0433">
        <w:t xml:space="preserve">The day after their return, Martinez and de Castro Font initiated an immediate voting for </w:t>
      </w:r>
      <w:r w:rsidR="009D4F0E">
        <w:t>Martinez’s</w:t>
      </w:r>
      <w:r w:rsidR="00CE1646">
        <w:t xml:space="preserve"> progressed security bills.</w:t>
      </w:r>
      <w:r w:rsidR="00CE1646">
        <w:rPr>
          <w:vertAlign w:val="superscript"/>
        </w:rPr>
        <w:t>10</w:t>
      </w:r>
    </w:p>
    <w:p w14:paraId="68DAB261" w14:textId="77777777" w:rsidR="009A30BF" w:rsidRPr="009A30BF" w:rsidRDefault="009A30BF">
      <w:pPr>
        <w:rPr>
          <w:vertAlign w:val="superscript"/>
        </w:rPr>
      </w:pPr>
    </w:p>
    <w:p w14:paraId="336B3521" w14:textId="24128FB6" w:rsidR="00EF0433" w:rsidRPr="00ED23BC" w:rsidRDefault="0018097E">
      <w:pPr>
        <w:rPr>
          <w:b/>
        </w:rPr>
      </w:pPr>
      <w:r w:rsidRPr="00ED23BC">
        <w:rPr>
          <w:b/>
        </w:rPr>
        <w:t xml:space="preserve">2. </w:t>
      </w:r>
      <w:r w:rsidR="00EF0433" w:rsidRPr="00ED23BC">
        <w:rPr>
          <w:b/>
        </w:rPr>
        <w:t xml:space="preserve">Procedural History </w:t>
      </w:r>
    </w:p>
    <w:p w14:paraId="4B674A37" w14:textId="77777777" w:rsidR="00ED23BC" w:rsidRPr="00471865" w:rsidRDefault="00ED23BC">
      <w:pPr>
        <w:rPr>
          <w:u w:val="single"/>
        </w:rPr>
      </w:pPr>
    </w:p>
    <w:p w14:paraId="301BC142" w14:textId="3EE882B1" w:rsidR="00C01494" w:rsidRDefault="004D0156" w:rsidP="0018097E">
      <w:pPr>
        <w:ind w:firstLine="720"/>
        <w:jc w:val="both"/>
        <w:rPr>
          <w:color w:val="1C1C1C"/>
          <w:szCs w:val="28"/>
        </w:rPr>
      </w:pPr>
      <w:r>
        <w:t xml:space="preserve">In 2010, a grand jury indicted </w:t>
      </w:r>
      <w:r w:rsidR="00471865">
        <w:t xml:space="preserve">Bravo and Martinez </w:t>
      </w:r>
      <w:r w:rsidR="00BE406F">
        <w:t xml:space="preserve">with the following charges: 1) Conspiracy </w:t>
      </w:r>
      <w:r w:rsidR="00BF11A0">
        <w:t xml:space="preserve">(18 U.S.C </w:t>
      </w:r>
      <w:r w:rsidR="00BF11A0" w:rsidRPr="00471865">
        <w:rPr>
          <w:color w:val="1C1C1C"/>
          <w:szCs w:val="28"/>
        </w:rPr>
        <w:t>§</w:t>
      </w:r>
      <w:r w:rsidR="00BF11A0">
        <w:rPr>
          <w:color w:val="1C1C1C"/>
          <w:szCs w:val="28"/>
        </w:rPr>
        <w:t xml:space="preserve"> 371) </w:t>
      </w:r>
      <w:r w:rsidR="00BE406F">
        <w:t xml:space="preserve">to commit federal bribery </w:t>
      </w:r>
      <w:r w:rsidR="00471865">
        <w:rPr>
          <w:color w:val="1C1C1C"/>
          <w:szCs w:val="28"/>
        </w:rPr>
        <w:t>and traveling in interstate c</w:t>
      </w:r>
      <w:r w:rsidR="002F10EC">
        <w:rPr>
          <w:color w:val="1C1C1C"/>
          <w:szCs w:val="28"/>
        </w:rPr>
        <w:t>ommerce to aid in racketeering</w:t>
      </w:r>
      <w:r w:rsidR="002F10EC">
        <w:rPr>
          <w:vertAlign w:val="superscript"/>
        </w:rPr>
        <w:t>11</w:t>
      </w:r>
      <w:r w:rsidR="002F10EC">
        <w:rPr>
          <w:color w:val="1C1C1C"/>
          <w:szCs w:val="28"/>
        </w:rPr>
        <w:t xml:space="preserve"> 2</w:t>
      </w:r>
      <w:r w:rsidR="00471865">
        <w:rPr>
          <w:color w:val="1C1C1C"/>
          <w:szCs w:val="28"/>
        </w:rPr>
        <w:t xml:space="preserve">) </w:t>
      </w:r>
      <w:r w:rsidR="00BE406F">
        <w:rPr>
          <w:color w:val="1C1C1C"/>
          <w:szCs w:val="28"/>
        </w:rPr>
        <w:t>violating the Travel Act</w:t>
      </w:r>
      <w:r w:rsidR="00471865">
        <w:rPr>
          <w:color w:val="1C1C1C"/>
          <w:szCs w:val="28"/>
        </w:rPr>
        <w:t xml:space="preserve"> (18 U.S.C. </w:t>
      </w:r>
      <w:r w:rsidR="00471865" w:rsidRPr="00471865">
        <w:rPr>
          <w:color w:val="1C1C1C"/>
          <w:szCs w:val="28"/>
        </w:rPr>
        <w:t>§</w:t>
      </w:r>
      <w:r w:rsidR="00471865">
        <w:rPr>
          <w:color w:val="1C1C1C"/>
          <w:szCs w:val="28"/>
        </w:rPr>
        <w:t xml:space="preserve"> 1952(a)(3)(A)</w:t>
      </w:r>
      <w:r w:rsidR="00524239">
        <w:rPr>
          <w:color w:val="1C1C1C"/>
          <w:szCs w:val="28"/>
        </w:rPr>
        <w:t>)</w:t>
      </w:r>
      <w:r w:rsidR="00471865">
        <w:rPr>
          <w:color w:val="1C1C1C"/>
          <w:szCs w:val="28"/>
        </w:rPr>
        <w:t xml:space="preserve"> by</w:t>
      </w:r>
      <w:r w:rsidR="00BE406F">
        <w:rPr>
          <w:color w:val="1C1C1C"/>
          <w:szCs w:val="28"/>
        </w:rPr>
        <w:t xml:space="preserve"> traveling</w:t>
      </w:r>
      <w:r w:rsidR="00471865">
        <w:rPr>
          <w:color w:val="1C1C1C"/>
          <w:szCs w:val="28"/>
        </w:rPr>
        <w:t xml:space="preserve"> while intending to promote unlawful activity</w:t>
      </w:r>
      <w:r w:rsidR="00BE406F">
        <w:rPr>
          <w:color w:val="1C1C1C"/>
          <w:szCs w:val="28"/>
        </w:rPr>
        <w:t xml:space="preserve">, specifically federal bribery, and 3) federal bribery </w:t>
      </w:r>
      <w:r w:rsidR="00A62F98">
        <w:rPr>
          <w:color w:val="1C1C1C"/>
          <w:szCs w:val="28"/>
        </w:rPr>
        <w:t xml:space="preserve">(18 U.S.C. </w:t>
      </w:r>
      <w:r w:rsidR="00A62F98" w:rsidRPr="00471865">
        <w:rPr>
          <w:color w:val="1C1C1C"/>
          <w:szCs w:val="28"/>
        </w:rPr>
        <w:t>§</w:t>
      </w:r>
      <w:r w:rsidR="00A62F98">
        <w:rPr>
          <w:color w:val="1C1C1C"/>
          <w:szCs w:val="28"/>
        </w:rPr>
        <w:t xml:space="preserve"> 666).</w:t>
      </w:r>
      <w:r w:rsidR="002F10EC">
        <w:rPr>
          <w:vertAlign w:val="superscript"/>
        </w:rPr>
        <w:t>12</w:t>
      </w:r>
      <w:r w:rsidR="00A62F98">
        <w:rPr>
          <w:color w:val="1C1C1C"/>
          <w:szCs w:val="28"/>
        </w:rPr>
        <w:t xml:space="preserve"> </w:t>
      </w:r>
      <w:r w:rsidR="002F10EC">
        <w:rPr>
          <w:color w:val="1C1C1C"/>
          <w:szCs w:val="28"/>
        </w:rPr>
        <w:t xml:space="preserve"> </w:t>
      </w:r>
      <w:r w:rsidR="00BE406F">
        <w:t xml:space="preserve">In addition, Martinez was indicted for tampering with a witness, victim, or an informant (18 U.S.C. </w:t>
      </w:r>
      <w:r w:rsidR="00A62F98" w:rsidRPr="00471865">
        <w:rPr>
          <w:color w:val="1C1C1C"/>
          <w:szCs w:val="28"/>
        </w:rPr>
        <w:t>§</w:t>
      </w:r>
      <w:r w:rsidR="00A62F98">
        <w:rPr>
          <w:color w:val="1C1C1C"/>
          <w:szCs w:val="28"/>
        </w:rPr>
        <w:t xml:space="preserve"> 1512(b)(3)), but was</w:t>
      </w:r>
      <w:r w:rsidR="00183A1D">
        <w:rPr>
          <w:color w:val="1C1C1C"/>
          <w:szCs w:val="28"/>
        </w:rPr>
        <w:t xml:space="preserve"> later acquitted on this charge.</w:t>
      </w:r>
      <w:r w:rsidR="002F10EC">
        <w:rPr>
          <w:vertAlign w:val="superscript"/>
        </w:rPr>
        <w:t>13</w:t>
      </w:r>
    </w:p>
    <w:p w14:paraId="357435D0" w14:textId="33FC14AD" w:rsidR="00921C02" w:rsidRDefault="00437A79" w:rsidP="0018097E">
      <w:pPr>
        <w:ind w:firstLine="720"/>
        <w:jc w:val="both"/>
        <w:rPr>
          <w:color w:val="1C1C1C"/>
          <w:szCs w:val="28"/>
        </w:rPr>
      </w:pPr>
      <w:r>
        <w:rPr>
          <w:color w:val="1C1C1C"/>
          <w:szCs w:val="28"/>
        </w:rPr>
        <w:t>After a jury trial i</w:t>
      </w:r>
      <w:r w:rsidR="00E56BA8">
        <w:rPr>
          <w:color w:val="1C1C1C"/>
          <w:szCs w:val="28"/>
        </w:rPr>
        <w:t>n 2011,</w:t>
      </w:r>
      <w:r w:rsidR="00921C02">
        <w:rPr>
          <w:color w:val="1C1C1C"/>
          <w:szCs w:val="28"/>
        </w:rPr>
        <w:t xml:space="preserve"> Bravo and Martinez</w:t>
      </w:r>
      <w:r w:rsidR="00E56BA8">
        <w:rPr>
          <w:color w:val="1C1C1C"/>
          <w:szCs w:val="28"/>
        </w:rPr>
        <w:t xml:space="preserve"> were convicted </w:t>
      </w:r>
      <w:r>
        <w:rPr>
          <w:color w:val="1C1C1C"/>
          <w:szCs w:val="28"/>
        </w:rPr>
        <w:t xml:space="preserve">of </w:t>
      </w:r>
      <w:r w:rsidR="00921C02">
        <w:rPr>
          <w:color w:val="1C1C1C"/>
          <w:szCs w:val="28"/>
        </w:rPr>
        <w:t xml:space="preserve">federal bribery, referred to as the “standalone </w:t>
      </w:r>
      <w:r w:rsidR="00921C02" w:rsidRPr="00471865">
        <w:rPr>
          <w:color w:val="1C1C1C"/>
          <w:szCs w:val="28"/>
        </w:rPr>
        <w:t>§</w:t>
      </w:r>
      <w:r w:rsidR="004E480A">
        <w:rPr>
          <w:color w:val="1C1C1C"/>
          <w:szCs w:val="28"/>
        </w:rPr>
        <w:t xml:space="preserve"> 666 counts</w:t>
      </w:r>
      <w:r w:rsidR="00921C02">
        <w:rPr>
          <w:color w:val="1C1C1C"/>
          <w:szCs w:val="28"/>
        </w:rPr>
        <w:t>”</w:t>
      </w:r>
      <w:r>
        <w:rPr>
          <w:color w:val="1C1C1C"/>
          <w:szCs w:val="28"/>
        </w:rPr>
        <w:t>, acquitted for conspiracy charges, and acquitted</w:t>
      </w:r>
      <w:r w:rsidR="002319E2">
        <w:rPr>
          <w:color w:val="1C1C1C"/>
          <w:szCs w:val="28"/>
        </w:rPr>
        <w:t xml:space="preserve"> for violating the Travel Act, and</w:t>
      </w:r>
      <w:r>
        <w:rPr>
          <w:color w:val="1C1C1C"/>
          <w:szCs w:val="28"/>
        </w:rPr>
        <w:t xml:space="preserve"> were </w:t>
      </w:r>
      <w:r w:rsidR="00E56BA8">
        <w:rPr>
          <w:color w:val="1C1C1C"/>
          <w:szCs w:val="28"/>
        </w:rPr>
        <w:t>sentenced to</w:t>
      </w:r>
      <w:r w:rsidR="00716BFF">
        <w:rPr>
          <w:color w:val="1C1C1C"/>
          <w:szCs w:val="28"/>
        </w:rPr>
        <w:t xml:space="preserve"> two year</w:t>
      </w:r>
      <w:r w:rsidR="004E480A">
        <w:rPr>
          <w:color w:val="1C1C1C"/>
          <w:szCs w:val="28"/>
        </w:rPr>
        <w:t xml:space="preserve">s </w:t>
      </w:r>
      <w:r w:rsidR="001F5F42">
        <w:rPr>
          <w:color w:val="1C1C1C"/>
          <w:szCs w:val="28"/>
        </w:rPr>
        <w:t xml:space="preserve">of </w:t>
      </w:r>
      <w:r w:rsidR="004E480A">
        <w:rPr>
          <w:color w:val="1C1C1C"/>
          <w:szCs w:val="28"/>
        </w:rPr>
        <w:t>imprisonment and individual fines.</w:t>
      </w:r>
      <w:r w:rsidR="002F10EC">
        <w:rPr>
          <w:vertAlign w:val="superscript"/>
        </w:rPr>
        <w:t>14</w:t>
      </w:r>
      <w:r w:rsidR="004E480A">
        <w:rPr>
          <w:color w:val="1C1C1C"/>
          <w:szCs w:val="28"/>
        </w:rPr>
        <w:t xml:space="preserve"> </w:t>
      </w:r>
      <w:r w:rsidR="00921C02" w:rsidRPr="00E545E8">
        <w:rPr>
          <w:color w:val="1C1C1C"/>
          <w:szCs w:val="28"/>
        </w:rPr>
        <w:t>Additionally, Bravo was charged with</w:t>
      </w:r>
      <w:r w:rsidR="00921C02">
        <w:rPr>
          <w:color w:val="1C1C1C"/>
          <w:szCs w:val="28"/>
        </w:rPr>
        <w:t xml:space="preserve"> conspiracy to violate</w:t>
      </w:r>
      <w:r w:rsidR="00921C02" w:rsidRPr="00E545E8">
        <w:rPr>
          <w:color w:val="1C1C1C"/>
          <w:szCs w:val="28"/>
        </w:rPr>
        <w:t xml:space="preserve"> </w:t>
      </w:r>
      <w:r w:rsidR="00921C02">
        <w:rPr>
          <w:color w:val="1C1C1C"/>
          <w:szCs w:val="28"/>
        </w:rPr>
        <w:t>the travel act</w:t>
      </w:r>
      <w:r w:rsidR="00921C02" w:rsidRPr="00E545E8">
        <w:rPr>
          <w:color w:val="1C1C1C"/>
          <w:szCs w:val="28"/>
        </w:rPr>
        <w:t xml:space="preserve"> in aid of racketeering </w:t>
      </w:r>
      <w:r w:rsidR="00921C02">
        <w:rPr>
          <w:color w:val="1C1C1C"/>
          <w:szCs w:val="28"/>
        </w:rPr>
        <w:t>and</w:t>
      </w:r>
      <w:r w:rsidR="00921C02" w:rsidRPr="00E545E8">
        <w:rPr>
          <w:color w:val="1C1C1C"/>
          <w:szCs w:val="28"/>
        </w:rPr>
        <w:t xml:space="preserve"> </w:t>
      </w:r>
      <w:r w:rsidR="00716BFF">
        <w:rPr>
          <w:color w:val="1C1C1C"/>
          <w:szCs w:val="28"/>
        </w:rPr>
        <w:t>with the</w:t>
      </w:r>
      <w:r w:rsidR="00921C02">
        <w:rPr>
          <w:color w:val="1C1C1C"/>
          <w:szCs w:val="28"/>
        </w:rPr>
        <w:t xml:space="preserve"> </w:t>
      </w:r>
      <w:r w:rsidR="00716BFF">
        <w:rPr>
          <w:color w:val="1C1C1C"/>
          <w:szCs w:val="28"/>
        </w:rPr>
        <w:t>intention</w:t>
      </w:r>
      <w:r w:rsidR="00921C02" w:rsidRPr="00E545E8">
        <w:rPr>
          <w:color w:val="1C1C1C"/>
          <w:szCs w:val="28"/>
        </w:rPr>
        <w:t xml:space="preserve"> to promote federal bribery, </w:t>
      </w:r>
      <w:r w:rsidR="001F5F42">
        <w:rPr>
          <w:color w:val="1C1C1C"/>
          <w:szCs w:val="28"/>
        </w:rPr>
        <w:t xml:space="preserve">however, this </w:t>
      </w:r>
      <w:r w:rsidR="00921C02" w:rsidRPr="00E545E8">
        <w:rPr>
          <w:color w:val="1C1C1C"/>
          <w:szCs w:val="28"/>
        </w:rPr>
        <w:t xml:space="preserve">was later </w:t>
      </w:r>
      <w:r w:rsidR="00A33149">
        <w:rPr>
          <w:color w:val="1C1C1C"/>
          <w:szCs w:val="28"/>
        </w:rPr>
        <w:t>reversed</w:t>
      </w:r>
      <w:r w:rsidR="00921C02" w:rsidRPr="00E545E8">
        <w:rPr>
          <w:color w:val="1C1C1C"/>
          <w:szCs w:val="28"/>
        </w:rPr>
        <w:t xml:space="preserve"> </w:t>
      </w:r>
      <w:r w:rsidR="00A33149">
        <w:rPr>
          <w:color w:val="1C1C1C"/>
          <w:szCs w:val="28"/>
        </w:rPr>
        <w:t xml:space="preserve">by the court of appeals </w:t>
      </w:r>
      <w:r w:rsidR="00921C02" w:rsidRPr="00E545E8">
        <w:rPr>
          <w:color w:val="1C1C1C"/>
          <w:szCs w:val="28"/>
        </w:rPr>
        <w:t>due to the bribery laws being repealed before he was charged with the crime.</w:t>
      </w:r>
      <w:r w:rsidR="002F10EC">
        <w:rPr>
          <w:vertAlign w:val="superscript"/>
        </w:rPr>
        <w:t>15</w:t>
      </w:r>
      <w:r w:rsidR="00921C02">
        <w:rPr>
          <w:color w:val="1C1C1C"/>
          <w:szCs w:val="28"/>
        </w:rPr>
        <w:t xml:space="preserve">  </w:t>
      </w:r>
      <w:r w:rsidR="00A33149">
        <w:rPr>
          <w:color w:val="1C1C1C"/>
          <w:szCs w:val="28"/>
        </w:rPr>
        <w:t xml:space="preserve">On appeal, the </w:t>
      </w:r>
      <w:r w:rsidR="00921C02">
        <w:rPr>
          <w:color w:val="1C1C1C"/>
          <w:szCs w:val="28"/>
        </w:rPr>
        <w:t xml:space="preserve">federal bribery violations </w:t>
      </w:r>
      <w:r w:rsidR="00921C02" w:rsidRPr="00471865">
        <w:rPr>
          <w:color w:val="1C1C1C"/>
          <w:szCs w:val="28"/>
        </w:rPr>
        <w:t>§</w:t>
      </w:r>
      <w:r w:rsidR="00921C02">
        <w:rPr>
          <w:color w:val="1C1C1C"/>
          <w:szCs w:val="28"/>
        </w:rPr>
        <w:t xml:space="preserve"> 666 </w:t>
      </w:r>
      <w:r w:rsidR="00A33149">
        <w:rPr>
          <w:color w:val="1C1C1C"/>
          <w:szCs w:val="28"/>
        </w:rPr>
        <w:t xml:space="preserve">were vacated and remanded </w:t>
      </w:r>
      <w:r w:rsidR="00921C02">
        <w:rPr>
          <w:color w:val="1C1C1C"/>
          <w:szCs w:val="28"/>
        </w:rPr>
        <w:t>due</w:t>
      </w:r>
      <w:r w:rsidR="004E480A">
        <w:rPr>
          <w:color w:val="1C1C1C"/>
          <w:szCs w:val="28"/>
        </w:rPr>
        <w:t xml:space="preserve"> to improper jury instructions.</w:t>
      </w:r>
      <w:r w:rsidR="002F10EC">
        <w:rPr>
          <w:vertAlign w:val="superscript"/>
        </w:rPr>
        <w:t>16</w:t>
      </w:r>
      <w:r w:rsidR="004E480A">
        <w:rPr>
          <w:color w:val="1C1C1C"/>
          <w:szCs w:val="28"/>
        </w:rPr>
        <w:t xml:space="preserve"> </w:t>
      </w:r>
      <w:r w:rsidR="00A33149">
        <w:rPr>
          <w:color w:val="1C1C1C"/>
          <w:szCs w:val="28"/>
        </w:rPr>
        <w:t xml:space="preserve"> </w:t>
      </w:r>
    </w:p>
    <w:p w14:paraId="489AFC2F" w14:textId="77777777" w:rsidR="00905DD0" w:rsidRDefault="00905DD0" w:rsidP="00E56BA8">
      <w:pPr>
        <w:jc w:val="both"/>
        <w:rPr>
          <w:color w:val="1C1C1C"/>
          <w:szCs w:val="28"/>
        </w:rPr>
      </w:pPr>
    </w:p>
    <w:p w14:paraId="482CB75B" w14:textId="771FECD1" w:rsidR="006B6F33" w:rsidRDefault="0018097E" w:rsidP="00E56BA8">
      <w:pPr>
        <w:jc w:val="both"/>
        <w:rPr>
          <w:b/>
          <w:color w:val="1C1C1C"/>
          <w:szCs w:val="28"/>
        </w:rPr>
      </w:pPr>
      <w:r w:rsidRPr="00ED23BC">
        <w:rPr>
          <w:b/>
          <w:color w:val="1C1C1C"/>
          <w:szCs w:val="28"/>
        </w:rPr>
        <w:t xml:space="preserve">3. The </w:t>
      </w:r>
      <w:r w:rsidR="006B6F33" w:rsidRPr="00ED23BC">
        <w:rPr>
          <w:b/>
          <w:color w:val="1C1C1C"/>
          <w:szCs w:val="28"/>
        </w:rPr>
        <w:t>Line Order</w:t>
      </w:r>
    </w:p>
    <w:p w14:paraId="5496FA58" w14:textId="77777777" w:rsidR="00ED23BC" w:rsidRPr="00ED23BC" w:rsidRDefault="00ED23BC" w:rsidP="00E56BA8">
      <w:pPr>
        <w:jc w:val="both"/>
        <w:rPr>
          <w:b/>
          <w:color w:val="1C1C1C"/>
          <w:szCs w:val="28"/>
        </w:rPr>
      </w:pPr>
    </w:p>
    <w:p w14:paraId="59101644" w14:textId="3161CD73" w:rsidR="00CC311F" w:rsidRDefault="00437A79" w:rsidP="009A30BF">
      <w:pPr>
        <w:ind w:firstLine="720"/>
        <w:jc w:val="both"/>
        <w:rPr>
          <w:color w:val="1C1C1C"/>
          <w:szCs w:val="28"/>
        </w:rPr>
      </w:pPr>
      <w:r>
        <w:rPr>
          <w:color w:val="1C1C1C"/>
          <w:szCs w:val="28"/>
        </w:rPr>
        <w:t>Upon remand</w:t>
      </w:r>
      <w:r w:rsidR="004E480A">
        <w:rPr>
          <w:color w:val="1C1C1C"/>
          <w:szCs w:val="28"/>
        </w:rPr>
        <w:t xml:space="preserve">, the district court entered a line order stating that both parties’ conspiracy charges and their standalone </w:t>
      </w:r>
      <w:r w:rsidR="004E480A" w:rsidRPr="00471865">
        <w:rPr>
          <w:color w:val="1C1C1C"/>
          <w:szCs w:val="28"/>
        </w:rPr>
        <w:t>§</w:t>
      </w:r>
      <w:r w:rsidR="004E480A">
        <w:rPr>
          <w:color w:val="1C1C1C"/>
          <w:szCs w:val="28"/>
        </w:rPr>
        <w:t xml:space="preserve"> 666 counts were acquitted.</w:t>
      </w:r>
      <w:r w:rsidR="00F066A7" w:rsidRPr="00F066A7">
        <w:rPr>
          <w:vertAlign w:val="superscript"/>
        </w:rPr>
        <w:t xml:space="preserve"> </w:t>
      </w:r>
      <w:r w:rsidR="00F066A7">
        <w:rPr>
          <w:vertAlign w:val="superscript"/>
        </w:rPr>
        <w:t>17</w:t>
      </w:r>
      <w:r w:rsidR="004E480A">
        <w:rPr>
          <w:color w:val="1C1C1C"/>
          <w:szCs w:val="28"/>
        </w:rPr>
        <w:t xml:space="preserve"> </w:t>
      </w:r>
      <w:r w:rsidR="00F066A7">
        <w:rPr>
          <w:color w:val="1C1C1C"/>
          <w:szCs w:val="28"/>
        </w:rPr>
        <w:t xml:space="preserve"> </w:t>
      </w:r>
      <w:r w:rsidR="004E480A">
        <w:rPr>
          <w:color w:val="1C1C1C"/>
          <w:szCs w:val="28"/>
        </w:rPr>
        <w:t xml:space="preserve">Within hours, the government submitted an emergency motion reaffirming the appellate court’s decision to vacate and remand the </w:t>
      </w:r>
      <w:r w:rsidR="004E480A" w:rsidRPr="00471865">
        <w:rPr>
          <w:color w:val="1C1C1C"/>
          <w:szCs w:val="28"/>
        </w:rPr>
        <w:t>§</w:t>
      </w:r>
      <w:r w:rsidR="004E480A">
        <w:rPr>
          <w:color w:val="1C1C1C"/>
          <w:szCs w:val="28"/>
        </w:rPr>
        <w:t xml:space="preserve"> 666 counts, claiming the district court made an error in acquitting these charges.</w:t>
      </w:r>
      <w:r w:rsidR="00F066A7">
        <w:rPr>
          <w:vertAlign w:val="superscript"/>
        </w:rPr>
        <w:t>18</w:t>
      </w:r>
      <w:r w:rsidR="004E480A">
        <w:rPr>
          <w:color w:val="1C1C1C"/>
          <w:szCs w:val="28"/>
        </w:rPr>
        <w:t xml:space="preserve">  The district court immediately vacated the line order, asserting Bravo and Martinez’s </w:t>
      </w:r>
      <w:r w:rsidR="004E480A" w:rsidRPr="00471865">
        <w:rPr>
          <w:color w:val="1C1C1C"/>
          <w:szCs w:val="28"/>
        </w:rPr>
        <w:t>§</w:t>
      </w:r>
      <w:r w:rsidR="004E480A">
        <w:rPr>
          <w:color w:val="1C1C1C"/>
          <w:szCs w:val="28"/>
        </w:rPr>
        <w:t xml:space="preserve"> 666 charges were not acqui</w:t>
      </w:r>
      <w:r w:rsidR="003E198D">
        <w:rPr>
          <w:color w:val="1C1C1C"/>
          <w:szCs w:val="28"/>
        </w:rPr>
        <w:t>tted, but rather vacated.</w:t>
      </w:r>
      <w:r w:rsidR="00F066A7" w:rsidRPr="00F066A7">
        <w:rPr>
          <w:vertAlign w:val="superscript"/>
        </w:rPr>
        <w:t xml:space="preserve"> </w:t>
      </w:r>
      <w:r w:rsidR="00F066A7">
        <w:rPr>
          <w:vertAlign w:val="superscript"/>
        </w:rPr>
        <w:t>19</w:t>
      </w:r>
      <w:r w:rsidR="003E198D">
        <w:rPr>
          <w:color w:val="1C1C1C"/>
          <w:szCs w:val="28"/>
        </w:rPr>
        <w:t xml:space="preserve">  </w:t>
      </w:r>
      <w:r w:rsidRPr="00C80E92">
        <w:rPr>
          <w:color w:val="1C1C1C"/>
          <w:szCs w:val="28"/>
        </w:rPr>
        <w:t>In other words,</w:t>
      </w:r>
      <w:r w:rsidR="002319E2" w:rsidRPr="00C80E92">
        <w:rPr>
          <w:color w:val="1C1C1C"/>
          <w:szCs w:val="28"/>
        </w:rPr>
        <w:t xml:space="preserve"> Bravo and Martinez were acquitted for conspiracy and </w:t>
      </w:r>
      <w:r w:rsidRPr="00C80E92">
        <w:rPr>
          <w:color w:val="1C1C1C"/>
          <w:szCs w:val="28"/>
        </w:rPr>
        <w:t xml:space="preserve">acquitted for violations regarding the travel act, </w:t>
      </w:r>
      <w:r w:rsidR="002319E2" w:rsidRPr="00C80E92">
        <w:rPr>
          <w:color w:val="1C1C1C"/>
          <w:szCs w:val="28"/>
        </w:rPr>
        <w:t>leaving only the standalone § 666 counts vacated for mistrial.</w:t>
      </w:r>
      <w:r w:rsidR="00F066A7" w:rsidRPr="00F066A7">
        <w:rPr>
          <w:vertAlign w:val="superscript"/>
        </w:rPr>
        <w:t xml:space="preserve"> </w:t>
      </w:r>
      <w:r w:rsidR="00F066A7">
        <w:rPr>
          <w:vertAlign w:val="superscript"/>
        </w:rPr>
        <w:t>20</w:t>
      </w:r>
      <w:r w:rsidR="002319E2" w:rsidRPr="002319E2">
        <w:rPr>
          <w:i/>
          <w:color w:val="1C1C1C"/>
          <w:szCs w:val="28"/>
        </w:rPr>
        <w:t xml:space="preserve">  </w:t>
      </w:r>
      <w:r w:rsidR="003E198D">
        <w:rPr>
          <w:color w:val="1C1C1C"/>
          <w:szCs w:val="28"/>
        </w:rPr>
        <w:t xml:space="preserve">Bravo and Martinez moved reinstate the vacated line order and also filed a motion for acquittal of the </w:t>
      </w:r>
      <w:r w:rsidR="003E198D" w:rsidRPr="00471865">
        <w:rPr>
          <w:color w:val="1C1C1C"/>
          <w:szCs w:val="28"/>
        </w:rPr>
        <w:t>§</w:t>
      </w:r>
      <w:r w:rsidR="003E198D">
        <w:rPr>
          <w:color w:val="1C1C1C"/>
          <w:szCs w:val="28"/>
        </w:rPr>
        <w:t xml:space="preserve"> 666 charges.</w:t>
      </w:r>
      <w:r w:rsidR="00F066A7" w:rsidRPr="00F066A7">
        <w:rPr>
          <w:vertAlign w:val="superscript"/>
        </w:rPr>
        <w:t xml:space="preserve"> </w:t>
      </w:r>
      <w:r w:rsidR="00F066A7">
        <w:rPr>
          <w:vertAlign w:val="superscript"/>
        </w:rPr>
        <w:t>21</w:t>
      </w:r>
      <w:r w:rsidR="003E198D">
        <w:rPr>
          <w:color w:val="1C1C1C"/>
          <w:szCs w:val="28"/>
        </w:rPr>
        <w:t xml:space="preserve">  They argued that </w:t>
      </w:r>
      <w:r w:rsidR="002E010C">
        <w:rPr>
          <w:color w:val="1C1C1C"/>
          <w:szCs w:val="28"/>
        </w:rPr>
        <w:t>because</w:t>
      </w:r>
      <w:r w:rsidR="003E198D">
        <w:rPr>
          <w:color w:val="1C1C1C"/>
          <w:szCs w:val="28"/>
        </w:rPr>
        <w:t xml:space="preserve"> the court previously acquitted </w:t>
      </w:r>
      <w:r>
        <w:rPr>
          <w:color w:val="1C1C1C"/>
          <w:szCs w:val="28"/>
        </w:rPr>
        <w:t>them for</w:t>
      </w:r>
      <w:r w:rsidR="003E198D">
        <w:rPr>
          <w:color w:val="1C1C1C"/>
          <w:szCs w:val="28"/>
        </w:rPr>
        <w:t xml:space="preserve"> conspiracy to violate the federal bribery laws and </w:t>
      </w:r>
      <w:r w:rsidR="00A33149">
        <w:rPr>
          <w:color w:val="1C1C1C"/>
          <w:szCs w:val="28"/>
        </w:rPr>
        <w:t xml:space="preserve">acquitted them </w:t>
      </w:r>
      <w:r>
        <w:rPr>
          <w:color w:val="1C1C1C"/>
          <w:szCs w:val="28"/>
        </w:rPr>
        <w:t>for</w:t>
      </w:r>
      <w:r w:rsidR="003E198D">
        <w:rPr>
          <w:color w:val="1C1C1C"/>
          <w:szCs w:val="28"/>
        </w:rPr>
        <w:t xml:space="preserve"> violation of the travel act in furtherance of federal bribery, they were precluded by the collateral estoppel prong of double jeopardy from </w:t>
      </w:r>
      <w:proofErr w:type="spellStart"/>
      <w:r w:rsidR="003E198D">
        <w:rPr>
          <w:color w:val="1C1C1C"/>
          <w:szCs w:val="28"/>
        </w:rPr>
        <w:t>relitigation</w:t>
      </w:r>
      <w:proofErr w:type="spellEnd"/>
      <w:r w:rsidR="003E198D">
        <w:rPr>
          <w:color w:val="1C1C1C"/>
          <w:szCs w:val="28"/>
        </w:rPr>
        <w:t xml:space="preserve"> of the federal bribery issues.</w:t>
      </w:r>
      <w:r w:rsidR="00F066A7" w:rsidRPr="00F066A7">
        <w:rPr>
          <w:vertAlign w:val="superscript"/>
        </w:rPr>
        <w:t xml:space="preserve"> </w:t>
      </w:r>
      <w:r w:rsidR="00F066A7">
        <w:rPr>
          <w:vertAlign w:val="superscript"/>
        </w:rPr>
        <w:t>22</w:t>
      </w:r>
      <w:r w:rsidR="003E198D">
        <w:rPr>
          <w:color w:val="1C1C1C"/>
          <w:szCs w:val="28"/>
        </w:rPr>
        <w:t xml:space="preserve"> </w:t>
      </w:r>
      <w:r w:rsidR="009A30BF">
        <w:rPr>
          <w:color w:val="1C1C1C"/>
          <w:szCs w:val="28"/>
        </w:rPr>
        <w:t xml:space="preserve"> </w:t>
      </w:r>
      <w:r w:rsidR="00C51359">
        <w:rPr>
          <w:color w:val="1C1C1C"/>
          <w:szCs w:val="28"/>
        </w:rPr>
        <w:t xml:space="preserve">The district court’s denial of their motion for acquittal </w:t>
      </w:r>
      <w:r w:rsidR="002E010C">
        <w:rPr>
          <w:color w:val="1C1C1C"/>
          <w:szCs w:val="28"/>
        </w:rPr>
        <w:t>consequentially</w:t>
      </w:r>
      <w:r w:rsidR="00C51359">
        <w:rPr>
          <w:color w:val="1C1C1C"/>
          <w:szCs w:val="28"/>
        </w:rPr>
        <w:t xml:space="preserve"> resulted in </w:t>
      </w:r>
      <w:r w:rsidR="002E010C">
        <w:rPr>
          <w:color w:val="1C1C1C"/>
          <w:szCs w:val="28"/>
        </w:rPr>
        <w:t>the</w:t>
      </w:r>
      <w:r w:rsidR="00C51359">
        <w:rPr>
          <w:color w:val="1C1C1C"/>
          <w:szCs w:val="28"/>
        </w:rPr>
        <w:t xml:space="preserve"> review of the double jeopardy clause by the appellate court.</w:t>
      </w:r>
      <w:r w:rsidR="00C51359" w:rsidRPr="00F066A7">
        <w:rPr>
          <w:vertAlign w:val="superscript"/>
        </w:rPr>
        <w:t xml:space="preserve"> </w:t>
      </w:r>
      <w:r w:rsidR="00C51359">
        <w:rPr>
          <w:vertAlign w:val="superscript"/>
        </w:rPr>
        <w:t>23</w:t>
      </w:r>
    </w:p>
    <w:p w14:paraId="5933046C" w14:textId="77777777" w:rsidR="00CC311F" w:rsidRDefault="00CC311F" w:rsidP="00CC311F">
      <w:pPr>
        <w:jc w:val="both"/>
        <w:rPr>
          <w:color w:val="1C1C1C"/>
          <w:szCs w:val="28"/>
        </w:rPr>
      </w:pPr>
    </w:p>
    <w:p w14:paraId="67C8BE00" w14:textId="77777777" w:rsidR="00A62F98" w:rsidRPr="00ED23BC" w:rsidRDefault="0018097E" w:rsidP="00E56BA8">
      <w:pPr>
        <w:jc w:val="both"/>
        <w:rPr>
          <w:b/>
          <w:color w:val="1C1C1C"/>
          <w:szCs w:val="28"/>
        </w:rPr>
      </w:pPr>
      <w:r w:rsidRPr="00ED23BC">
        <w:rPr>
          <w:b/>
          <w:color w:val="1C1C1C"/>
          <w:szCs w:val="28"/>
        </w:rPr>
        <w:t xml:space="preserve">4. </w:t>
      </w:r>
      <w:r w:rsidR="004E480A" w:rsidRPr="00ED23BC">
        <w:rPr>
          <w:b/>
          <w:color w:val="1C1C1C"/>
          <w:szCs w:val="28"/>
        </w:rPr>
        <w:t xml:space="preserve">Improper Jury Instructions </w:t>
      </w:r>
    </w:p>
    <w:p w14:paraId="3F0EDE0E" w14:textId="77777777" w:rsidR="00ED23BC" w:rsidRPr="004E480A" w:rsidRDefault="00ED23BC" w:rsidP="00E56BA8">
      <w:pPr>
        <w:jc w:val="both"/>
        <w:rPr>
          <w:color w:val="1C1C1C"/>
          <w:szCs w:val="28"/>
          <w:u w:val="single"/>
        </w:rPr>
      </w:pPr>
    </w:p>
    <w:p w14:paraId="33198039" w14:textId="23FD7398" w:rsidR="009A30BF" w:rsidRDefault="00887257" w:rsidP="009A30BF">
      <w:pPr>
        <w:ind w:firstLine="720"/>
        <w:jc w:val="both"/>
        <w:rPr>
          <w:color w:val="1C1C1C"/>
          <w:szCs w:val="28"/>
        </w:rPr>
      </w:pPr>
      <w:r>
        <w:rPr>
          <w:color w:val="1C1C1C"/>
          <w:szCs w:val="28"/>
        </w:rPr>
        <w:t xml:space="preserve">The District Court gave </w:t>
      </w:r>
      <w:r w:rsidR="002319E2">
        <w:rPr>
          <w:color w:val="1C1C1C"/>
          <w:szCs w:val="28"/>
        </w:rPr>
        <w:t>the jury</w:t>
      </w:r>
      <w:r>
        <w:rPr>
          <w:color w:val="1C1C1C"/>
          <w:szCs w:val="28"/>
        </w:rPr>
        <w:t xml:space="preserve"> instructions </w:t>
      </w:r>
      <w:r w:rsidR="002319E2">
        <w:rPr>
          <w:color w:val="1C1C1C"/>
          <w:szCs w:val="28"/>
        </w:rPr>
        <w:t xml:space="preserve">related to Bravo and Martinez’s </w:t>
      </w:r>
      <w:r>
        <w:rPr>
          <w:color w:val="1C1C1C"/>
          <w:szCs w:val="28"/>
        </w:rPr>
        <w:t>federal bribery</w:t>
      </w:r>
      <w:r w:rsidR="002319E2">
        <w:rPr>
          <w:color w:val="1C1C1C"/>
          <w:szCs w:val="28"/>
        </w:rPr>
        <w:t xml:space="preserve"> charge</w:t>
      </w:r>
      <w:r>
        <w:rPr>
          <w:color w:val="1C1C1C"/>
          <w:szCs w:val="28"/>
        </w:rPr>
        <w:t>.</w:t>
      </w:r>
      <w:r w:rsidR="00F066A7">
        <w:rPr>
          <w:vertAlign w:val="superscript"/>
        </w:rPr>
        <w:t>24</w:t>
      </w:r>
      <w:r>
        <w:rPr>
          <w:color w:val="1C1C1C"/>
          <w:szCs w:val="28"/>
        </w:rPr>
        <w:t xml:space="preserve">  </w:t>
      </w:r>
      <w:r w:rsidR="00E25A5A">
        <w:rPr>
          <w:color w:val="1C1C1C"/>
          <w:szCs w:val="28"/>
        </w:rPr>
        <w:t xml:space="preserve">To be convicted of the 18 U.S.CA. </w:t>
      </w:r>
      <w:r w:rsidR="00E25A5A" w:rsidRPr="00471865">
        <w:rPr>
          <w:color w:val="1C1C1C"/>
          <w:szCs w:val="28"/>
        </w:rPr>
        <w:t>§</w:t>
      </w:r>
      <w:r w:rsidR="00E25A5A">
        <w:rPr>
          <w:color w:val="1C1C1C"/>
          <w:szCs w:val="28"/>
        </w:rPr>
        <w:t xml:space="preserve"> 666 counts, the jury must find sufficient evidence that the individual was an agent of the commonwealth of </w:t>
      </w:r>
      <w:r w:rsidR="002E010C">
        <w:rPr>
          <w:color w:val="1C1C1C"/>
          <w:szCs w:val="28"/>
        </w:rPr>
        <w:t>the Puerto Rican</w:t>
      </w:r>
      <w:r w:rsidR="00E25A5A">
        <w:rPr>
          <w:color w:val="1C1C1C"/>
          <w:szCs w:val="28"/>
        </w:rPr>
        <w:t xml:space="preserve"> government, the individual solicited, demanded, accepted, or agreed to accept anything of value from another person, and did so with the intent to be influenced or rewarded with business or transactions</w:t>
      </w:r>
      <w:r w:rsidR="00781CD4">
        <w:rPr>
          <w:color w:val="1C1C1C"/>
          <w:szCs w:val="28"/>
        </w:rPr>
        <w:t>.</w:t>
      </w:r>
      <w:r w:rsidR="00F066A7">
        <w:rPr>
          <w:vertAlign w:val="superscript"/>
        </w:rPr>
        <w:t>25</w:t>
      </w:r>
      <w:r w:rsidR="00E25A5A">
        <w:rPr>
          <w:color w:val="1C1C1C"/>
          <w:szCs w:val="28"/>
        </w:rPr>
        <w:t xml:space="preserve"> </w:t>
      </w:r>
      <w:r w:rsidR="00F066A7">
        <w:rPr>
          <w:color w:val="1C1C1C"/>
          <w:szCs w:val="28"/>
        </w:rPr>
        <w:t xml:space="preserve"> </w:t>
      </w:r>
      <w:r w:rsidR="00E25A5A">
        <w:rPr>
          <w:color w:val="1C1C1C"/>
          <w:szCs w:val="28"/>
        </w:rPr>
        <w:t>In other words, the individual charged must have given, offered, or agreed to give something of value before the time of the business transaction.</w:t>
      </w:r>
      <w:r w:rsidR="00F066A7">
        <w:rPr>
          <w:vertAlign w:val="superscript"/>
        </w:rPr>
        <w:t>26</w:t>
      </w:r>
      <w:r w:rsidR="00E25A5A">
        <w:rPr>
          <w:color w:val="1C1C1C"/>
          <w:szCs w:val="28"/>
        </w:rPr>
        <w:t xml:space="preserve">  This would be considered bribery under an exchange theory (</w:t>
      </w:r>
      <w:r w:rsidR="002319E2">
        <w:rPr>
          <w:color w:val="1C1C1C"/>
          <w:szCs w:val="28"/>
        </w:rPr>
        <w:t xml:space="preserve">quid pro quo, or </w:t>
      </w:r>
      <w:r w:rsidR="00E25A5A">
        <w:rPr>
          <w:color w:val="1C1C1C"/>
          <w:szCs w:val="28"/>
        </w:rPr>
        <w:t xml:space="preserve">“this” </w:t>
      </w:r>
      <w:r w:rsidR="003E5C49">
        <w:rPr>
          <w:color w:val="1C1C1C"/>
          <w:szCs w:val="28"/>
        </w:rPr>
        <w:t>in exchange for</w:t>
      </w:r>
      <w:r w:rsidR="00E25A5A">
        <w:rPr>
          <w:color w:val="1C1C1C"/>
          <w:szCs w:val="28"/>
        </w:rPr>
        <w:t xml:space="preserve"> “that”).</w:t>
      </w:r>
      <w:r w:rsidR="00F066A7">
        <w:rPr>
          <w:vertAlign w:val="superscript"/>
        </w:rPr>
        <w:t>27</w:t>
      </w:r>
      <w:r w:rsidR="00E25A5A">
        <w:rPr>
          <w:color w:val="1C1C1C"/>
          <w:szCs w:val="28"/>
        </w:rPr>
        <w:t xml:space="preserve">  However, a person can not be convicted for this charge under a gratuity theory.</w:t>
      </w:r>
      <w:r w:rsidR="00F066A7">
        <w:rPr>
          <w:vertAlign w:val="superscript"/>
        </w:rPr>
        <w:t>28</w:t>
      </w:r>
      <w:r w:rsidR="00E25A5A">
        <w:rPr>
          <w:color w:val="1C1C1C"/>
          <w:szCs w:val="28"/>
        </w:rPr>
        <w:t xml:space="preserve">  </w:t>
      </w:r>
    </w:p>
    <w:p w14:paraId="6E7BFC68" w14:textId="75D41266" w:rsidR="00332F5B" w:rsidRPr="00AA4840" w:rsidRDefault="002319E2" w:rsidP="009A30BF">
      <w:pPr>
        <w:ind w:firstLine="720"/>
        <w:jc w:val="both"/>
        <w:rPr>
          <w:color w:val="1C1C1C"/>
          <w:szCs w:val="28"/>
        </w:rPr>
      </w:pPr>
      <w:r>
        <w:rPr>
          <w:color w:val="1C1C1C"/>
          <w:szCs w:val="28"/>
        </w:rPr>
        <w:t xml:space="preserve">The </w:t>
      </w:r>
      <w:r w:rsidR="007A79EB">
        <w:rPr>
          <w:color w:val="1C1C1C"/>
          <w:szCs w:val="28"/>
        </w:rPr>
        <w:t xml:space="preserve">United States </w:t>
      </w:r>
      <w:r>
        <w:rPr>
          <w:color w:val="1C1C1C"/>
          <w:szCs w:val="28"/>
        </w:rPr>
        <w:t>Supreme Court has distinguished between bribes and illegal gratuities by examining the individual’s intent.</w:t>
      </w:r>
      <w:r w:rsidR="00F066A7">
        <w:rPr>
          <w:color w:val="1C1C1C"/>
          <w:vertAlign w:val="superscript"/>
        </w:rPr>
        <w:t>29</w:t>
      </w:r>
      <w:r>
        <w:rPr>
          <w:color w:val="1C1C1C"/>
          <w:szCs w:val="28"/>
        </w:rPr>
        <w:t xml:space="preserve"> </w:t>
      </w:r>
      <w:r w:rsidR="003E5C49">
        <w:rPr>
          <w:color w:val="1C1C1C"/>
          <w:szCs w:val="28"/>
        </w:rPr>
        <w:t xml:space="preserve"> To convict one of bribery, the individual must posses an intent “to influence” an official act.</w:t>
      </w:r>
      <w:r w:rsidR="00F066A7">
        <w:rPr>
          <w:color w:val="1C1C1C"/>
          <w:vertAlign w:val="superscript"/>
        </w:rPr>
        <w:t>30</w:t>
      </w:r>
      <w:r w:rsidR="00F066A7">
        <w:rPr>
          <w:color w:val="1C1C1C"/>
          <w:szCs w:val="28"/>
        </w:rPr>
        <w:t xml:space="preserve"> </w:t>
      </w:r>
      <w:r w:rsidR="003E5C49">
        <w:rPr>
          <w:color w:val="1C1C1C"/>
          <w:szCs w:val="28"/>
        </w:rPr>
        <w:t xml:space="preserve"> This “influence” is something of value that is gi</w:t>
      </w:r>
      <w:r w:rsidR="00F066A7">
        <w:rPr>
          <w:color w:val="1C1C1C"/>
          <w:szCs w:val="28"/>
        </w:rPr>
        <w:t>ven in exchange for an act.</w:t>
      </w:r>
      <w:r w:rsidR="00F066A7">
        <w:rPr>
          <w:color w:val="1C1C1C"/>
          <w:vertAlign w:val="superscript"/>
        </w:rPr>
        <w:t>31</w:t>
      </w:r>
      <w:r w:rsidR="003E5C49">
        <w:rPr>
          <w:color w:val="1C1C1C"/>
          <w:szCs w:val="28"/>
        </w:rPr>
        <w:t xml:space="preserve">  On the other hand, illegal gratuity may be present when an individual donates a “reward” for the public official’s “future act” or a “past act” that </w:t>
      </w:r>
      <w:r w:rsidR="00F066A7">
        <w:rPr>
          <w:color w:val="1C1C1C"/>
          <w:szCs w:val="28"/>
        </w:rPr>
        <w:t>has already been performed.</w:t>
      </w:r>
      <w:r w:rsidR="00F066A7">
        <w:rPr>
          <w:color w:val="1C1C1C"/>
          <w:vertAlign w:val="superscript"/>
        </w:rPr>
        <w:t>32</w:t>
      </w:r>
      <w:r w:rsidR="003E5C49">
        <w:rPr>
          <w:color w:val="1C1C1C"/>
          <w:szCs w:val="28"/>
        </w:rPr>
        <w:t xml:space="preserve">  </w:t>
      </w:r>
      <w:r w:rsidR="00E25A5A">
        <w:rPr>
          <w:color w:val="1C1C1C"/>
          <w:szCs w:val="28"/>
        </w:rPr>
        <w:t xml:space="preserve">In this case, the jury instructions </w:t>
      </w:r>
      <w:r w:rsidR="003E5C49">
        <w:rPr>
          <w:color w:val="1C1C1C"/>
          <w:szCs w:val="28"/>
        </w:rPr>
        <w:t>included the specific words</w:t>
      </w:r>
      <w:r w:rsidR="002E010C">
        <w:rPr>
          <w:color w:val="1C1C1C"/>
          <w:szCs w:val="28"/>
        </w:rPr>
        <w:t>,</w:t>
      </w:r>
      <w:r w:rsidR="003E5C49">
        <w:rPr>
          <w:color w:val="1C1C1C"/>
          <w:szCs w:val="28"/>
        </w:rPr>
        <w:t xml:space="preserve"> “or after”</w:t>
      </w:r>
      <w:r w:rsidR="002E010C">
        <w:rPr>
          <w:color w:val="1C1C1C"/>
          <w:szCs w:val="28"/>
        </w:rPr>
        <w:t>,</w:t>
      </w:r>
      <w:r w:rsidR="003E5C49">
        <w:rPr>
          <w:color w:val="1C1C1C"/>
          <w:szCs w:val="28"/>
        </w:rPr>
        <w:t xml:space="preserve"> which meant the individual charged must have given, offered, or agreed to give something of value before</w:t>
      </w:r>
      <w:r w:rsidR="00414168">
        <w:rPr>
          <w:color w:val="1C1C1C"/>
          <w:szCs w:val="28"/>
        </w:rPr>
        <w:t>, at the time,</w:t>
      </w:r>
      <w:r w:rsidR="003E5C49">
        <w:rPr>
          <w:color w:val="1C1C1C"/>
          <w:szCs w:val="28"/>
        </w:rPr>
        <w:t xml:space="preserve"> </w:t>
      </w:r>
      <w:r w:rsidR="003E5C49">
        <w:rPr>
          <w:i/>
          <w:color w:val="1C1C1C"/>
          <w:szCs w:val="28"/>
        </w:rPr>
        <w:t>or after</w:t>
      </w:r>
      <w:r w:rsidR="003E5C49">
        <w:rPr>
          <w:color w:val="1C1C1C"/>
          <w:szCs w:val="28"/>
        </w:rPr>
        <w:t xml:space="preserve"> the time of the business transaction.</w:t>
      </w:r>
      <w:r w:rsidR="00F066A7">
        <w:rPr>
          <w:color w:val="1C1C1C"/>
          <w:vertAlign w:val="superscript"/>
        </w:rPr>
        <w:t>33</w:t>
      </w:r>
      <w:r w:rsidR="003E5C49">
        <w:rPr>
          <w:color w:val="1C1C1C"/>
          <w:szCs w:val="28"/>
        </w:rPr>
        <w:t xml:space="preserve"> </w:t>
      </w:r>
      <w:r w:rsidR="00414168">
        <w:rPr>
          <w:color w:val="1C1C1C"/>
          <w:szCs w:val="28"/>
        </w:rPr>
        <w:t xml:space="preserve"> </w:t>
      </w:r>
      <w:r w:rsidR="005B63BE">
        <w:rPr>
          <w:color w:val="1C1C1C"/>
          <w:szCs w:val="28"/>
        </w:rPr>
        <w:t>For example, t</w:t>
      </w:r>
      <w:r w:rsidR="00414168">
        <w:rPr>
          <w:color w:val="1C1C1C"/>
          <w:szCs w:val="28"/>
        </w:rPr>
        <w:t xml:space="preserve">he jury instruction </w:t>
      </w:r>
      <w:r w:rsidR="005B63BE">
        <w:rPr>
          <w:color w:val="1C1C1C"/>
          <w:szCs w:val="28"/>
        </w:rPr>
        <w:t>to convict</w:t>
      </w:r>
      <w:r w:rsidR="00414168">
        <w:rPr>
          <w:color w:val="1C1C1C"/>
          <w:szCs w:val="28"/>
        </w:rPr>
        <w:t xml:space="preserve"> Bravo</w:t>
      </w:r>
      <w:r w:rsidR="005B63BE">
        <w:rPr>
          <w:color w:val="1C1C1C"/>
          <w:szCs w:val="28"/>
        </w:rPr>
        <w:t xml:space="preserve"> of federal bribery</w:t>
      </w:r>
      <w:r w:rsidR="00414168">
        <w:rPr>
          <w:color w:val="1C1C1C"/>
          <w:szCs w:val="28"/>
        </w:rPr>
        <w:t xml:space="preserve"> stated</w:t>
      </w:r>
      <w:r w:rsidR="005B63BE">
        <w:rPr>
          <w:color w:val="1C1C1C"/>
          <w:szCs w:val="28"/>
        </w:rPr>
        <w:t xml:space="preserve"> the government did not need to prove Bravo offered the trip to Las Vegas “</w:t>
      </w:r>
      <w:r w:rsidR="005B63BE">
        <w:rPr>
          <w:i/>
          <w:color w:val="1C1C1C"/>
          <w:szCs w:val="28"/>
        </w:rPr>
        <w:t>before</w:t>
      </w:r>
      <w:r w:rsidR="005B63BE">
        <w:rPr>
          <w:color w:val="1C1C1C"/>
          <w:szCs w:val="28"/>
        </w:rPr>
        <w:t>” Martinez performed an official act, but rather suggested that the trip could have been in exchange for the act (exchange theory) or could have been a reward for Martinez’s acts (gratuity theory).</w:t>
      </w:r>
      <w:r w:rsidR="00F066A7">
        <w:rPr>
          <w:color w:val="1C1C1C"/>
          <w:vertAlign w:val="superscript"/>
        </w:rPr>
        <w:t>34</w:t>
      </w:r>
      <w:r w:rsidR="005B63BE">
        <w:rPr>
          <w:color w:val="1C1C1C"/>
          <w:szCs w:val="28"/>
        </w:rPr>
        <w:t xml:space="preserve"> </w:t>
      </w:r>
      <w:r w:rsidR="00414168">
        <w:rPr>
          <w:color w:val="1C1C1C"/>
          <w:szCs w:val="28"/>
        </w:rPr>
        <w:t xml:space="preserve"> </w:t>
      </w:r>
      <w:r w:rsidR="003E5C49">
        <w:rPr>
          <w:color w:val="1C1C1C"/>
          <w:szCs w:val="28"/>
        </w:rPr>
        <w:t>T</w:t>
      </w:r>
      <w:r w:rsidR="00716BFF">
        <w:rPr>
          <w:color w:val="1C1C1C"/>
          <w:szCs w:val="28"/>
        </w:rPr>
        <w:t xml:space="preserve">his choice of words </w:t>
      </w:r>
      <w:r w:rsidR="003E5C49">
        <w:rPr>
          <w:color w:val="1C1C1C"/>
          <w:szCs w:val="28"/>
        </w:rPr>
        <w:t xml:space="preserve">allowed the </w:t>
      </w:r>
      <w:r w:rsidR="00E25A5A">
        <w:rPr>
          <w:color w:val="1C1C1C"/>
          <w:szCs w:val="28"/>
        </w:rPr>
        <w:t xml:space="preserve">jury to believe they could convict him of bribery under both the gratuity theory and the exchange theory, allowing them to </w:t>
      </w:r>
      <w:r w:rsidR="00ED078F">
        <w:rPr>
          <w:color w:val="1C1C1C"/>
          <w:szCs w:val="28"/>
        </w:rPr>
        <w:t xml:space="preserve">erroneously </w:t>
      </w:r>
      <w:r w:rsidR="00E25A5A">
        <w:rPr>
          <w:color w:val="1C1C1C"/>
          <w:szCs w:val="28"/>
        </w:rPr>
        <w:t>convict him for a gratuity and not a bribe.</w:t>
      </w:r>
      <w:r w:rsidR="00781CD4">
        <w:rPr>
          <w:color w:val="1C1C1C"/>
          <w:vertAlign w:val="superscript"/>
        </w:rPr>
        <w:t>3</w:t>
      </w:r>
      <w:r w:rsidR="00F066A7">
        <w:rPr>
          <w:color w:val="1C1C1C"/>
          <w:vertAlign w:val="superscript"/>
        </w:rPr>
        <w:t>5</w:t>
      </w:r>
      <w:r w:rsidR="00E25A5A">
        <w:rPr>
          <w:color w:val="1C1C1C"/>
          <w:szCs w:val="28"/>
        </w:rPr>
        <w:t xml:space="preserve"> </w:t>
      </w:r>
      <w:r w:rsidR="009A30BF">
        <w:rPr>
          <w:color w:val="1C1C1C"/>
          <w:szCs w:val="28"/>
        </w:rPr>
        <w:t xml:space="preserve"> </w:t>
      </w:r>
      <w:r w:rsidR="005B63BE">
        <w:rPr>
          <w:color w:val="1C1C1C"/>
          <w:szCs w:val="28"/>
        </w:rPr>
        <w:t xml:space="preserve">Similar jury instructions were offered for Martinez’s federal bribery charge as well, stating that the government did </w:t>
      </w:r>
      <w:r w:rsidR="005B63BE" w:rsidRPr="005B63BE">
        <w:rPr>
          <w:color w:val="1C1C1C"/>
          <w:szCs w:val="28"/>
        </w:rPr>
        <w:t>not</w:t>
      </w:r>
      <w:r w:rsidR="005B63BE">
        <w:rPr>
          <w:color w:val="1C1C1C"/>
          <w:szCs w:val="28"/>
        </w:rPr>
        <w:t xml:space="preserve"> have to prove Martinez accepted the trip to Las Vegas before he started performing official acts (what would have been the exchange theory), but suggested that he could have taken the trip and then performed official acts as a gratuity.</w:t>
      </w:r>
      <w:r w:rsidR="00F066A7">
        <w:rPr>
          <w:color w:val="1C1C1C"/>
          <w:vertAlign w:val="superscript"/>
        </w:rPr>
        <w:t>36</w:t>
      </w:r>
      <w:r w:rsidR="005B63BE">
        <w:rPr>
          <w:color w:val="1C1C1C"/>
          <w:szCs w:val="28"/>
        </w:rPr>
        <w:t xml:space="preserve"> </w:t>
      </w:r>
      <w:r w:rsidR="00D530E4">
        <w:rPr>
          <w:color w:val="1C1C1C"/>
          <w:szCs w:val="28"/>
        </w:rPr>
        <w:t xml:space="preserve"> For the jury inst</w:t>
      </w:r>
      <w:r w:rsidR="00716BFF">
        <w:rPr>
          <w:color w:val="1C1C1C"/>
          <w:szCs w:val="28"/>
        </w:rPr>
        <w:t>ructions to have been</w:t>
      </w:r>
      <w:r w:rsidR="00D530E4">
        <w:rPr>
          <w:color w:val="1C1C1C"/>
          <w:szCs w:val="28"/>
        </w:rPr>
        <w:t xml:space="preserve"> proper, they would have stated the bribe was i</w:t>
      </w:r>
      <w:r w:rsidR="002E010C">
        <w:rPr>
          <w:color w:val="1C1C1C"/>
          <w:szCs w:val="28"/>
        </w:rPr>
        <w:t>n exchange for the official act</w:t>
      </w:r>
      <w:r w:rsidR="00D530E4">
        <w:rPr>
          <w:color w:val="1C1C1C"/>
          <w:szCs w:val="28"/>
        </w:rPr>
        <w:t xml:space="preserve"> and </w:t>
      </w:r>
      <w:r w:rsidR="002E010C">
        <w:rPr>
          <w:color w:val="1C1C1C"/>
          <w:szCs w:val="28"/>
        </w:rPr>
        <w:t xml:space="preserve">therefore, </w:t>
      </w:r>
      <w:r w:rsidR="00716BFF">
        <w:rPr>
          <w:color w:val="1C1C1C"/>
          <w:szCs w:val="28"/>
        </w:rPr>
        <w:t xml:space="preserve">would </w:t>
      </w:r>
      <w:r w:rsidR="00D530E4">
        <w:rPr>
          <w:color w:val="1C1C1C"/>
          <w:szCs w:val="28"/>
        </w:rPr>
        <w:t xml:space="preserve">not </w:t>
      </w:r>
      <w:r w:rsidR="00716BFF">
        <w:rPr>
          <w:color w:val="1C1C1C"/>
          <w:szCs w:val="28"/>
        </w:rPr>
        <w:t xml:space="preserve">have </w:t>
      </w:r>
      <w:r w:rsidR="00D530E4">
        <w:rPr>
          <w:color w:val="1C1C1C"/>
          <w:szCs w:val="28"/>
        </w:rPr>
        <w:t xml:space="preserve">included any suggestions </w:t>
      </w:r>
      <w:r w:rsidR="00716BFF">
        <w:rPr>
          <w:color w:val="1C1C1C"/>
          <w:szCs w:val="28"/>
        </w:rPr>
        <w:t>of rewards or gratuity</w:t>
      </w:r>
      <w:r w:rsidR="00F066A7">
        <w:rPr>
          <w:color w:val="1C1C1C"/>
          <w:szCs w:val="28"/>
        </w:rPr>
        <w:t>.</w:t>
      </w:r>
      <w:r w:rsidR="00F066A7">
        <w:rPr>
          <w:color w:val="1C1C1C"/>
          <w:vertAlign w:val="superscript"/>
        </w:rPr>
        <w:t>37</w:t>
      </w:r>
    </w:p>
    <w:p w14:paraId="7308FF1F" w14:textId="77777777" w:rsidR="00AA4840" w:rsidRDefault="00AA4840" w:rsidP="00E56BA8">
      <w:pPr>
        <w:jc w:val="both"/>
      </w:pPr>
    </w:p>
    <w:p w14:paraId="5F00FD99" w14:textId="5DA0209C" w:rsidR="00AA4840" w:rsidRPr="00ED23BC" w:rsidRDefault="005A6F8A" w:rsidP="00AA4840">
      <w:pPr>
        <w:jc w:val="center"/>
        <w:rPr>
          <w:b/>
          <w:sz w:val="28"/>
        </w:rPr>
      </w:pPr>
      <w:r w:rsidRPr="00ED23BC">
        <w:rPr>
          <w:b/>
          <w:sz w:val="28"/>
        </w:rPr>
        <w:t>Court’s Holding and Rationale</w:t>
      </w:r>
    </w:p>
    <w:p w14:paraId="3869A1FE" w14:textId="77777777" w:rsidR="00ED23BC" w:rsidRPr="00AA4840" w:rsidRDefault="00ED23BC" w:rsidP="00AA4840">
      <w:pPr>
        <w:jc w:val="center"/>
        <w:rPr>
          <w:b/>
        </w:rPr>
      </w:pPr>
    </w:p>
    <w:p w14:paraId="440DB9DD" w14:textId="15F6BB2E" w:rsidR="00AA4840" w:rsidRPr="00AA4840" w:rsidRDefault="00AA4840" w:rsidP="00AA4840">
      <w:pPr>
        <w:ind w:firstLine="720"/>
        <w:jc w:val="both"/>
      </w:pPr>
      <w:r>
        <w:t>The main issue in this case is whether a vacated unconstitutional conviction can negate the preclusive effect of an acquittal under the collateral estoppel doctrine of the double jeopardy clause.  The main “rules” or proceeding case law used to determine the answers to these questions are laid out in</w:t>
      </w:r>
      <w:r w:rsidR="002E010C">
        <w:t xml:space="preserve"> </w:t>
      </w:r>
      <w:r w:rsidRPr="00AA4840">
        <w:rPr>
          <w:i/>
        </w:rPr>
        <w:t>Ashe</w:t>
      </w:r>
      <w:r>
        <w:t xml:space="preserve"> </w:t>
      </w:r>
      <w:r w:rsidRPr="00AA4840">
        <w:rPr>
          <w:i/>
        </w:rPr>
        <w:t>v. Swenson</w:t>
      </w:r>
      <w:r>
        <w:t xml:space="preserve"> and </w:t>
      </w:r>
      <w:r w:rsidRPr="00AA4840">
        <w:rPr>
          <w:i/>
        </w:rPr>
        <w:t>Yeager</w:t>
      </w:r>
      <w:r>
        <w:t xml:space="preserve"> </w:t>
      </w:r>
      <w:r w:rsidRPr="00AA4840">
        <w:rPr>
          <w:i/>
        </w:rPr>
        <w:t>v. United States</w:t>
      </w:r>
      <w:r>
        <w:t>, leaving an outline of what is and is not barred from retrial by collateral estoppel.</w:t>
      </w:r>
      <w:r w:rsidR="009C5CFD">
        <w:rPr>
          <w:color w:val="1C1C1C"/>
          <w:vertAlign w:val="superscript"/>
        </w:rPr>
        <w:t>38</w:t>
      </w:r>
      <w:r>
        <w:t xml:space="preserve"> </w:t>
      </w:r>
    </w:p>
    <w:p w14:paraId="71FFDBAC" w14:textId="657C5C88" w:rsidR="003835E8" w:rsidRDefault="000C6934" w:rsidP="00AA4840">
      <w:pPr>
        <w:ind w:firstLine="720"/>
        <w:jc w:val="both"/>
      </w:pPr>
      <w:r>
        <w:t xml:space="preserve">The </w:t>
      </w:r>
      <w:r w:rsidR="00AA4840">
        <w:t xml:space="preserve">appellate </w:t>
      </w:r>
      <w:r>
        <w:t xml:space="preserve">court </w:t>
      </w:r>
      <w:r w:rsidR="00AA4840">
        <w:t>followed</w:t>
      </w:r>
      <w:r>
        <w:t xml:space="preserve"> the decision in </w:t>
      </w:r>
      <w:r w:rsidRPr="00AA4840">
        <w:rPr>
          <w:i/>
        </w:rPr>
        <w:t xml:space="preserve">Ashe </w:t>
      </w:r>
      <w:r w:rsidR="00AA4840" w:rsidRPr="00AA4840">
        <w:rPr>
          <w:i/>
        </w:rPr>
        <w:t>v. Swenson</w:t>
      </w:r>
      <w:r w:rsidR="00AA4840">
        <w:t xml:space="preserve"> </w:t>
      </w:r>
      <w:r>
        <w:t xml:space="preserve">to serve as a guideline for </w:t>
      </w:r>
      <w:r w:rsidRPr="000C6934">
        <w:rPr>
          <w:i/>
        </w:rPr>
        <w:t>Bravo</w:t>
      </w:r>
      <w:r>
        <w:t>-</w:t>
      </w:r>
      <w:r>
        <w:rPr>
          <w:i/>
        </w:rPr>
        <w:t>Fernandez</w:t>
      </w:r>
      <w:r w:rsidR="009C5CFD">
        <w:t xml:space="preserve"> </w:t>
      </w:r>
      <w:r w:rsidR="00AA4840">
        <w:t>holding the collateral estoppel rule; W</w:t>
      </w:r>
      <w:r>
        <w:t>hen an “issue of ultimate fact” is decided by a jury</w:t>
      </w:r>
      <w:r w:rsidR="002E010C">
        <w:t>,</w:t>
      </w:r>
      <w:r>
        <w:t xml:space="preserve"> a</w:t>
      </w:r>
      <w:r w:rsidR="002E010C">
        <w:t>nd resulted in a final judgment,</w:t>
      </w:r>
      <w:r>
        <w:t xml:space="preserve"> that issue can not be litigated again between the same pa</w:t>
      </w:r>
      <w:r w:rsidR="00693EED">
        <w:t>rties.</w:t>
      </w:r>
      <w:r w:rsidR="009C5CFD">
        <w:rPr>
          <w:vertAlign w:val="superscript"/>
        </w:rPr>
        <w:t>39</w:t>
      </w:r>
      <w:r w:rsidR="00693EED">
        <w:t xml:space="preserve">  Deciding whether the issue of ultimate fact has been determined involves an </w:t>
      </w:r>
      <w:r w:rsidR="009C5CFD">
        <w:t xml:space="preserve">issue preclusion </w:t>
      </w:r>
      <w:r w:rsidR="00693EED">
        <w:t xml:space="preserve">inquiry that “must be set in a practical frame” </w:t>
      </w:r>
      <w:r w:rsidR="002E010C">
        <w:t>which</w:t>
      </w:r>
      <w:r w:rsidR="00693EED">
        <w:t xml:space="preserve"> considers “all the circumstances of the proceedings.”</w:t>
      </w:r>
      <w:r w:rsidR="009C5CFD">
        <w:rPr>
          <w:vertAlign w:val="superscript"/>
        </w:rPr>
        <w:t>40</w:t>
      </w:r>
      <w:r w:rsidR="00693EED">
        <w:t xml:space="preserve">  </w:t>
      </w:r>
      <w:r w:rsidR="00337FFA">
        <w:t>This means the court must examine prior proceedings, pleadings, evidence, charges and any “other relevant matter” and determine the basis</w:t>
      </w:r>
      <w:r w:rsidR="003835E8">
        <w:t xml:space="preserve"> of </w:t>
      </w:r>
      <w:r w:rsidR="003654EF">
        <w:t>a rational jury’s decision.</w:t>
      </w:r>
      <w:r w:rsidR="009C5CFD">
        <w:rPr>
          <w:vertAlign w:val="superscript"/>
        </w:rPr>
        <w:t>41</w:t>
      </w:r>
      <w:r w:rsidR="003654EF">
        <w:t xml:space="preserve">  </w:t>
      </w:r>
      <w:r w:rsidR="003835E8">
        <w:t xml:space="preserve">If the jury </w:t>
      </w:r>
      <w:r w:rsidR="003835E8">
        <w:rPr>
          <w:i/>
        </w:rPr>
        <w:t>could have</w:t>
      </w:r>
      <w:r w:rsidR="003835E8">
        <w:t xml:space="preserve"> based their verdict on any issue other than the issue that the defendant seeks to preclude, then collateral estoppel is nonexistent.</w:t>
      </w:r>
      <w:r w:rsidR="009C5CFD" w:rsidRPr="009C5CFD">
        <w:rPr>
          <w:vertAlign w:val="superscript"/>
        </w:rPr>
        <w:t xml:space="preserve"> </w:t>
      </w:r>
      <w:r w:rsidR="009C5CFD">
        <w:rPr>
          <w:vertAlign w:val="superscript"/>
        </w:rPr>
        <w:t xml:space="preserve">42 </w:t>
      </w:r>
      <w:r w:rsidR="003835E8">
        <w:t xml:space="preserve"> If the jury decided an issue of ultimate fact in their verdict, usually in the form of an acquittal, then the defendant would receive the benefit of collateral estoppel and the government could not </w:t>
      </w:r>
      <w:proofErr w:type="spellStart"/>
      <w:r w:rsidR="003835E8">
        <w:t>relitigate</w:t>
      </w:r>
      <w:proofErr w:type="spellEnd"/>
      <w:r w:rsidR="003835E8">
        <w:t xml:space="preserve"> that issue of fact</w:t>
      </w:r>
      <w:r w:rsidR="002E010C">
        <w:t>,</w:t>
      </w:r>
      <w:r w:rsidR="003835E8">
        <w:t xml:space="preserve"> even in a</w:t>
      </w:r>
      <w:r w:rsidR="000A7B67">
        <w:t xml:space="preserve"> trial for a different offense.</w:t>
      </w:r>
      <w:r w:rsidR="009C5CFD">
        <w:rPr>
          <w:vertAlign w:val="superscript"/>
        </w:rPr>
        <w:t>43</w:t>
      </w:r>
    </w:p>
    <w:p w14:paraId="4726C78D" w14:textId="77777777" w:rsidR="0018097E" w:rsidRDefault="0018097E" w:rsidP="00337FFA">
      <w:pPr>
        <w:pBdr>
          <w:bottom w:val="single" w:sz="6" w:space="1" w:color="auto"/>
        </w:pBdr>
        <w:jc w:val="both"/>
      </w:pPr>
    </w:p>
    <w:p w14:paraId="3DA510FA" w14:textId="10F52EA8" w:rsidR="008B01C3" w:rsidRDefault="00580E22" w:rsidP="00337FFA">
      <w:pPr>
        <w:pBdr>
          <w:bottom w:val="single" w:sz="6" w:space="1" w:color="auto"/>
        </w:pBdr>
        <w:jc w:val="both"/>
        <w:rPr>
          <w:b/>
        </w:rPr>
      </w:pPr>
      <w:r>
        <w:rPr>
          <w:b/>
        </w:rPr>
        <w:t>A</w:t>
      </w:r>
      <w:r w:rsidR="008B01C3">
        <w:rPr>
          <w:b/>
        </w:rPr>
        <w:t>. The “</w:t>
      </w:r>
      <w:r w:rsidR="008B01C3" w:rsidRPr="00ED23BC">
        <w:rPr>
          <w:b/>
        </w:rPr>
        <w:t>Practical Frame</w:t>
      </w:r>
      <w:r w:rsidR="008B01C3">
        <w:rPr>
          <w:b/>
        </w:rPr>
        <w:t>” of Issue Preclusion Analysis</w:t>
      </w:r>
    </w:p>
    <w:p w14:paraId="19EB45E1" w14:textId="77777777" w:rsidR="008B01C3" w:rsidRDefault="008B01C3" w:rsidP="00337FFA">
      <w:pPr>
        <w:pBdr>
          <w:bottom w:val="single" w:sz="6" w:space="1" w:color="auto"/>
        </w:pBdr>
        <w:jc w:val="both"/>
      </w:pPr>
    </w:p>
    <w:p w14:paraId="458A3CD7" w14:textId="4FE69864" w:rsidR="009A30BF" w:rsidRDefault="008B01C3" w:rsidP="009A30BF">
      <w:pPr>
        <w:pBdr>
          <w:bottom w:val="single" w:sz="6" w:space="1" w:color="auto"/>
        </w:pBdr>
        <w:ind w:firstLine="720"/>
        <w:jc w:val="both"/>
      </w:pPr>
      <w:r>
        <w:t xml:space="preserve">In </w:t>
      </w:r>
      <w:r w:rsidRPr="00716BFF">
        <w:rPr>
          <w:i/>
        </w:rPr>
        <w:t>Ashe</w:t>
      </w:r>
      <w:r>
        <w:t xml:space="preserve">, the </w:t>
      </w:r>
      <w:r w:rsidR="007A79EB">
        <w:t xml:space="preserve">United States </w:t>
      </w:r>
      <w:r>
        <w:t>Supreme Court outlined what it meant to view all proceedings, pleadings, evidence, charges</w:t>
      </w:r>
      <w:r w:rsidR="002E010C">
        <w:t>,</w:t>
      </w:r>
      <w:r>
        <w:t xml:space="preserve"> and related matter through an inquiry </w:t>
      </w:r>
      <w:r w:rsidR="000703ED">
        <w:t xml:space="preserve">that is </w:t>
      </w:r>
      <w:r>
        <w:t>“set in a practical frame” in order to determine if an issue should be precluded from being retried due to the collateral estoppel segment of double jeopardy</w:t>
      </w:r>
      <w:r w:rsidR="00135C47">
        <w:t>, also known as an issue preclusion analysis</w:t>
      </w:r>
      <w:r>
        <w:t>.</w:t>
      </w:r>
      <w:r>
        <w:rPr>
          <w:vertAlign w:val="superscript"/>
        </w:rPr>
        <w:t>44</w:t>
      </w:r>
      <w:r w:rsidR="009A30BF">
        <w:rPr>
          <w:vertAlign w:val="superscript"/>
        </w:rPr>
        <w:t xml:space="preserve"> </w:t>
      </w:r>
      <w:r>
        <w:t xml:space="preserve"> In </w:t>
      </w:r>
      <w:r w:rsidRPr="00716BFF">
        <w:rPr>
          <w:i/>
        </w:rPr>
        <w:t>Ashe</w:t>
      </w:r>
      <w:r>
        <w:t>, the jury acquitted a defendant of robbing one victim, but then tried to prosecute the same defendant for robbing another victim during the same robbery event.</w:t>
      </w:r>
      <w:r>
        <w:rPr>
          <w:vertAlign w:val="superscript"/>
        </w:rPr>
        <w:t>45</w:t>
      </w:r>
      <w:r>
        <w:t xml:space="preserve">  </w:t>
      </w:r>
      <w:r w:rsidR="00790AC0">
        <w:t>The Court concluded that by acquitting the defendant of robbery in the first trial, the jury had deci</w:t>
      </w:r>
      <w:r w:rsidR="00716BFF">
        <w:t>ded that the defendant was not one of the</w:t>
      </w:r>
      <w:r w:rsidR="00790AC0">
        <w:t xml:space="preserve"> robber</w:t>
      </w:r>
      <w:r w:rsidR="00716BFF">
        <w:t>s</w:t>
      </w:r>
      <w:r w:rsidR="00790AC0">
        <w:t xml:space="preserve"> in this </w:t>
      </w:r>
      <w:r w:rsidR="00E31262">
        <w:t>crime</w:t>
      </w:r>
      <w:r w:rsidR="00790AC0">
        <w:t xml:space="preserve"> and thus could not be tried again for robbing another victim during the same event.</w:t>
      </w:r>
      <w:r w:rsidR="00846D89">
        <w:rPr>
          <w:vertAlign w:val="superscript"/>
        </w:rPr>
        <w:t>46</w:t>
      </w:r>
      <w:r w:rsidR="00790AC0">
        <w:t xml:space="preserve">  Thus, the prosecution was collaterally estopped fr</w:t>
      </w:r>
      <w:r w:rsidR="000703ED">
        <w:t xml:space="preserve">om </w:t>
      </w:r>
      <w:proofErr w:type="spellStart"/>
      <w:r w:rsidR="000703ED">
        <w:t>relitigating</w:t>
      </w:r>
      <w:proofErr w:type="spellEnd"/>
      <w:r w:rsidR="000703ED">
        <w:t xml:space="preserve"> the same issue of </w:t>
      </w:r>
      <w:r w:rsidR="00790AC0">
        <w:t>wheth</w:t>
      </w:r>
      <w:r w:rsidR="000703ED">
        <w:t>er the defendant was the robber</w:t>
      </w:r>
      <w:r w:rsidR="00790AC0">
        <w:t xml:space="preserve"> in another tr</w:t>
      </w:r>
      <w:r w:rsidR="000A7B67">
        <w:t>ial against a different victim.</w:t>
      </w:r>
      <w:r w:rsidR="00846D89">
        <w:rPr>
          <w:vertAlign w:val="superscript"/>
        </w:rPr>
        <w:t>47</w:t>
      </w:r>
    </w:p>
    <w:p w14:paraId="3BEB03D8" w14:textId="59CFD8E2" w:rsidR="009A30BF" w:rsidRDefault="000703ED" w:rsidP="009A30BF">
      <w:pPr>
        <w:pBdr>
          <w:bottom w:val="single" w:sz="6" w:space="1" w:color="auto"/>
        </w:pBdr>
        <w:ind w:firstLine="720"/>
        <w:jc w:val="both"/>
      </w:pPr>
      <w:r>
        <w:t>H</w:t>
      </w:r>
      <w:r w:rsidR="00A531F6" w:rsidRPr="000F0D30">
        <w:t xml:space="preserve">owever, </w:t>
      </w:r>
      <w:r>
        <w:t xml:space="preserve">there is </w:t>
      </w:r>
      <w:r w:rsidR="00A531F6" w:rsidRPr="000F0D30">
        <w:t xml:space="preserve">a limitation that </w:t>
      </w:r>
      <w:r w:rsidR="000F0D30">
        <w:t xml:space="preserve">the </w:t>
      </w:r>
      <w:r w:rsidR="007A79EB">
        <w:t xml:space="preserve">United States </w:t>
      </w:r>
      <w:r w:rsidR="000F0D30">
        <w:t xml:space="preserve">Supreme Court in </w:t>
      </w:r>
      <w:r w:rsidR="00A531F6" w:rsidRPr="000F0D30">
        <w:rPr>
          <w:i/>
        </w:rPr>
        <w:t>Powell</w:t>
      </w:r>
      <w:r w:rsidR="00A531F6" w:rsidRPr="000F0D30">
        <w:t xml:space="preserve"> decided that is particularly relev</w:t>
      </w:r>
      <w:r w:rsidR="004927D3" w:rsidRPr="000F0D30">
        <w:t>ant to this case at hand.</w:t>
      </w:r>
      <w:r w:rsidR="008E75F5">
        <w:rPr>
          <w:vertAlign w:val="superscript"/>
        </w:rPr>
        <w:t>48</w:t>
      </w:r>
      <w:r w:rsidR="004927D3" w:rsidRPr="000F0D30">
        <w:t xml:space="preserve">  The </w:t>
      </w:r>
      <w:r w:rsidR="007A79EB">
        <w:t>court</w:t>
      </w:r>
      <w:r w:rsidR="00A531F6" w:rsidRPr="000F0D30">
        <w:t xml:space="preserve"> held that if the jury returned inconsistent verdicts</w:t>
      </w:r>
      <w:r w:rsidR="006C73B1">
        <w:t>,</w:t>
      </w:r>
      <w:r w:rsidR="00A531F6" w:rsidRPr="000F0D30">
        <w:t xml:space="preserve"> </w:t>
      </w:r>
      <w:r w:rsidR="006C73B1">
        <w:t xml:space="preserve">including a conviction, </w:t>
      </w:r>
      <w:r w:rsidR="00A531F6" w:rsidRPr="000F0D30">
        <w:t>the rule of collateral estoppel does not apply.</w:t>
      </w:r>
      <w:r w:rsidR="008E75F5">
        <w:rPr>
          <w:vertAlign w:val="superscript"/>
        </w:rPr>
        <w:t>49</w:t>
      </w:r>
      <w:r w:rsidR="00A531F6" w:rsidRPr="000F0D30">
        <w:t xml:space="preserve"> </w:t>
      </w:r>
      <w:r w:rsidR="00054860" w:rsidRPr="000F0D30">
        <w:t xml:space="preserve"> </w:t>
      </w:r>
      <w:r w:rsidR="00066B48">
        <w:t>Likewise, i</w:t>
      </w:r>
      <w:r w:rsidR="00AF2E4F" w:rsidRPr="000F0D30">
        <w:t>n</w:t>
      </w:r>
      <w:r w:rsidR="00A531F6" w:rsidRPr="000F0D30">
        <w:t xml:space="preserve"> </w:t>
      </w:r>
      <w:r w:rsidR="00A531F6" w:rsidRPr="006C73B1">
        <w:rPr>
          <w:i/>
        </w:rPr>
        <w:t>Bravo-Fernandez</w:t>
      </w:r>
      <w:r w:rsidR="00A531F6" w:rsidRPr="000F0D30">
        <w:t xml:space="preserve"> the jury acquitted </w:t>
      </w:r>
      <w:r w:rsidR="006C73B1">
        <w:t>Bravo and Martinez</w:t>
      </w:r>
      <w:r w:rsidR="00A531F6" w:rsidRPr="000F0D30">
        <w:t xml:space="preserve"> for conspiracy </w:t>
      </w:r>
      <w:r w:rsidR="00054860" w:rsidRPr="000F0D30">
        <w:t xml:space="preserve">(to violate federal bribery statutes) </w:t>
      </w:r>
      <w:r w:rsidR="00A531F6" w:rsidRPr="000F0D30">
        <w:t>and travel act violations</w:t>
      </w:r>
      <w:r w:rsidR="003D7DE4" w:rsidRPr="000F0D30">
        <w:t xml:space="preserve"> (traveling interstate to commit federal bribery)</w:t>
      </w:r>
      <w:r w:rsidR="00A531F6" w:rsidRPr="000F0D30">
        <w:t xml:space="preserve">, but then convicted </w:t>
      </w:r>
      <w:r>
        <w:t>them</w:t>
      </w:r>
      <w:r w:rsidR="00A531F6" w:rsidRPr="000F0D30">
        <w:t xml:space="preserve"> of federal bribery.</w:t>
      </w:r>
      <w:r w:rsidR="008E75F5">
        <w:rPr>
          <w:vertAlign w:val="superscript"/>
        </w:rPr>
        <w:t>50</w:t>
      </w:r>
      <w:r w:rsidR="00A531F6" w:rsidRPr="000F0D30">
        <w:t xml:space="preserve"> </w:t>
      </w:r>
      <w:r w:rsidR="008E75F5">
        <w:t xml:space="preserve"> </w:t>
      </w:r>
      <w:r w:rsidR="00A531F6" w:rsidRPr="000F0D30">
        <w:t xml:space="preserve">This </w:t>
      </w:r>
      <w:r w:rsidR="00BD45AD">
        <w:t>was</w:t>
      </w:r>
      <w:r w:rsidR="00A531F6" w:rsidRPr="000F0D30">
        <w:t xml:space="preserve"> an inconsistent verdict because the federal bribery charge was a predicate offense to the</w:t>
      </w:r>
      <w:r w:rsidR="003D7DE4" w:rsidRPr="000F0D30">
        <w:t xml:space="preserve"> other</w:t>
      </w:r>
      <w:r w:rsidR="00054860" w:rsidRPr="000F0D30">
        <w:t xml:space="preserve"> acquitted</w:t>
      </w:r>
      <w:r w:rsidR="003D7DE4" w:rsidRPr="000F0D30">
        <w:t xml:space="preserve"> charges</w:t>
      </w:r>
      <w:r w:rsidR="00054860" w:rsidRPr="000F0D30">
        <w:rPr>
          <w:i/>
        </w:rPr>
        <w:t>.</w:t>
      </w:r>
      <w:r w:rsidR="008E75F5">
        <w:rPr>
          <w:vertAlign w:val="superscript"/>
        </w:rPr>
        <w:t>51</w:t>
      </w:r>
      <w:r w:rsidR="008E75F5">
        <w:rPr>
          <w:i/>
        </w:rPr>
        <w:t xml:space="preserve"> </w:t>
      </w:r>
      <w:r w:rsidR="00054860" w:rsidRPr="000F0D30">
        <w:rPr>
          <w:i/>
        </w:rPr>
        <w:t xml:space="preserve"> </w:t>
      </w:r>
      <w:r w:rsidR="003D7DE4" w:rsidRPr="000F0D30">
        <w:t>They</w:t>
      </w:r>
      <w:r w:rsidR="00A531F6" w:rsidRPr="000F0D30">
        <w:t xml:space="preserve"> </w:t>
      </w:r>
      <w:r w:rsidR="003D7DE4" w:rsidRPr="000F0D30">
        <w:t>were</w:t>
      </w:r>
      <w:r w:rsidR="00A531F6" w:rsidRPr="000F0D30">
        <w:t xml:space="preserve"> charged with </w:t>
      </w:r>
      <w:r w:rsidR="003D7DE4" w:rsidRPr="000F0D30">
        <w:t xml:space="preserve">bribery but acquitted for charges </w:t>
      </w:r>
      <w:r w:rsidR="00376ABE" w:rsidRPr="000F0D30">
        <w:t>founded</w:t>
      </w:r>
      <w:r w:rsidR="003D7DE4" w:rsidRPr="000F0D30">
        <w:t xml:space="preserve"> on </w:t>
      </w:r>
      <w:r w:rsidR="00376ABE" w:rsidRPr="000F0D30">
        <w:t>bribery.</w:t>
      </w:r>
      <w:r w:rsidR="008E75F5">
        <w:rPr>
          <w:vertAlign w:val="superscript"/>
        </w:rPr>
        <w:t>52</w:t>
      </w:r>
      <w:r w:rsidR="00376ABE" w:rsidRPr="000F0D30">
        <w:t xml:space="preserve">  The acquittals </w:t>
      </w:r>
      <w:r w:rsidR="00AF2E4F" w:rsidRPr="000F0D30">
        <w:t>should have precluded a retrial due to double jeopardy because</w:t>
      </w:r>
      <w:r>
        <w:t>,</w:t>
      </w:r>
      <w:r w:rsidR="00AF2E4F" w:rsidRPr="000F0D30">
        <w:t xml:space="preserve"> by acquitting the defendants of traveling interstate to commit federal bribery, the jury must have determined they </w:t>
      </w:r>
      <w:r>
        <w:t>did not</w:t>
      </w:r>
      <w:r w:rsidR="00AF2E4F" w:rsidRPr="000F0D30">
        <w:t xml:space="preserve"> commit bribery.</w:t>
      </w:r>
      <w:r w:rsidR="008E75F5">
        <w:rPr>
          <w:vertAlign w:val="superscript"/>
        </w:rPr>
        <w:t>53</w:t>
      </w:r>
      <w:r w:rsidR="008E75F5">
        <w:t xml:space="preserve"> </w:t>
      </w:r>
      <w:r w:rsidR="00AF2E4F" w:rsidRPr="000F0D30">
        <w:t xml:space="preserve"> Yet, they were convicted of bribery</w:t>
      </w:r>
      <w:r w:rsidR="00013034" w:rsidRPr="000F0D30">
        <w:t>.</w:t>
      </w:r>
      <w:r w:rsidR="008E75F5">
        <w:rPr>
          <w:vertAlign w:val="superscript"/>
        </w:rPr>
        <w:t>54</w:t>
      </w:r>
      <w:r w:rsidR="004927D3" w:rsidRPr="000F0D30">
        <w:t xml:space="preserve">  That is exactly why Bravo and Martinez </w:t>
      </w:r>
      <w:r w:rsidR="00BD45AD">
        <w:t>argued</w:t>
      </w:r>
      <w:r w:rsidR="004927D3" w:rsidRPr="000F0D30">
        <w:t xml:space="preserve"> the rationale of Ashe, claiming that the acquittals for conspiracy and violating the travel act were founded on the jury finding that they did not commit federal bribery and therefore</w:t>
      </w:r>
      <w:r>
        <w:t>,</w:t>
      </w:r>
      <w:r w:rsidR="00BD45AD">
        <w:t xml:space="preserve"> they</w:t>
      </w:r>
      <w:r w:rsidR="004927D3" w:rsidRPr="000F0D30">
        <w:t xml:space="preserve"> should </w:t>
      </w:r>
      <w:r w:rsidR="00BD45AD">
        <w:t xml:space="preserve">have </w:t>
      </w:r>
      <w:r w:rsidR="004927D3" w:rsidRPr="000F0D30">
        <w:t>be</w:t>
      </w:r>
      <w:r w:rsidR="00BD45AD">
        <w:t>en</w:t>
      </w:r>
      <w:r w:rsidR="004927D3" w:rsidRPr="000F0D30">
        <w:t xml:space="preserve"> acquitted for bribery.</w:t>
      </w:r>
      <w:r w:rsidR="008E75F5">
        <w:rPr>
          <w:vertAlign w:val="superscript"/>
        </w:rPr>
        <w:t>55</w:t>
      </w:r>
      <w:r w:rsidR="004927D3" w:rsidRPr="000F0D30">
        <w:t xml:space="preserve"> </w:t>
      </w:r>
      <w:r w:rsidR="00934368" w:rsidRPr="000F0D30">
        <w:t xml:space="preserve">  </w:t>
      </w:r>
    </w:p>
    <w:p w14:paraId="3C6D443B" w14:textId="77777777" w:rsidR="009A30BF" w:rsidRDefault="00552C4D" w:rsidP="009A30BF">
      <w:pPr>
        <w:pBdr>
          <w:bottom w:val="single" w:sz="6" w:space="1" w:color="auto"/>
        </w:pBdr>
        <w:ind w:firstLine="720"/>
        <w:jc w:val="both"/>
        <w:rPr>
          <w:sz w:val="22"/>
          <w:szCs w:val="22"/>
          <w:vertAlign w:val="superscript"/>
        </w:rPr>
      </w:pPr>
      <w:r w:rsidRPr="000F0D30">
        <w:t xml:space="preserve">However, the appellate court </w:t>
      </w:r>
      <w:r w:rsidR="00BD45AD">
        <w:t>took</w:t>
      </w:r>
      <w:r w:rsidRPr="000F0D30">
        <w:t xml:space="preserve"> a different standpoint.</w:t>
      </w:r>
      <w:r w:rsidR="008E75F5">
        <w:t xml:space="preserve"> </w:t>
      </w:r>
      <w:r w:rsidRPr="000F0D30">
        <w:t xml:space="preserve"> Recall during the first appeal, the appellate court vacated the bribery convictions on improper jury instructions.</w:t>
      </w:r>
      <w:r w:rsidR="008E75F5">
        <w:rPr>
          <w:vertAlign w:val="superscript"/>
        </w:rPr>
        <w:t>56</w:t>
      </w:r>
      <w:r w:rsidRPr="000F0D30">
        <w:t xml:space="preserve">  Then, upon remand, the district court initially improperly acquitted their bribery charges, only to vacate the charges hours later.</w:t>
      </w:r>
      <w:r w:rsidR="008E75F5">
        <w:rPr>
          <w:vertAlign w:val="superscript"/>
        </w:rPr>
        <w:t>57</w:t>
      </w:r>
      <w:r w:rsidRPr="000F0D30">
        <w:t xml:space="preserve"> </w:t>
      </w:r>
      <w:r w:rsidR="008E75F5">
        <w:t xml:space="preserve"> </w:t>
      </w:r>
      <w:r w:rsidR="007A2C8F" w:rsidRPr="000F0D30">
        <w:t>Thus, the “final” decision for Bravo and Martinez, going into their second appeal, were acquittals for conspiracy and violations of the travel act, and vacated charges for federal bribery due to improper jury instructions.</w:t>
      </w:r>
      <w:r w:rsidR="008E75F5">
        <w:rPr>
          <w:vertAlign w:val="superscript"/>
        </w:rPr>
        <w:t>58</w:t>
      </w:r>
      <w:r w:rsidR="007A2C8F" w:rsidRPr="000F0D30">
        <w:t xml:space="preserve">  </w:t>
      </w:r>
      <w:r w:rsidR="006B646F" w:rsidRPr="000F0D30">
        <w:t xml:space="preserve">The appellate court took a stance to practically analyze the record, as laid out in </w:t>
      </w:r>
      <w:r w:rsidR="006B646F" w:rsidRPr="006B1E87">
        <w:rPr>
          <w:i/>
        </w:rPr>
        <w:t>Ashe</w:t>
      </w:r>
      <w:r w:rsidR="006B646F" w:rsidRPr="000F0D30">
        <w:t>.</w:t>
      </w:r>
      <w:r w:rsidR="006B646F">
        <w:rPr>
          <w:vertAlign w:val="superscript"/>
        </w:rPr>
        <w:t>59</w:t>
      </w:r>
      <w:r w:rsidR="006B646F" w:rsidRPr="000F0D30">
        <w:t xml:space="preserve"> </w:t>
      </w:r>
    </w:p>
    <w:p w14:paraId="001C45E4" w14:textId="15C03198" w:rsidR="009A30BF" w:rsidRDefault="006B646F" w:rsidP="009A30BF">
      <w:pPr>
        <w:pBdr>
          <w:bottom w:val="single" w:sz="6" w:space="1" w:color="auto"/>
        </w:pBdr>
        <w:ind w:firstLine="720"/>
        <w:jc w:val="both"/>
        <w:rPr>
          <w:sz w:val="22"/>
          <w:szCs w:val="22"/>
          <w:vertAlign w:val="superscript"/>
        </w:rPr>
      </w:pPr>
      <w:r w:rsidRPr="000F0D30">
        <w:t>They stated that they must take into account the acquittals and convictions, even if the convictions were vacated, claiming that a vacated conviction due to trial error does not equate to a final jury decision founded on the government’s case.</w:t>
      </w:r>
      <w:r>
        <w:rPr>
          <w:vertAlign w:val="superscript"/>
        </w:rPr>
        <w:t>60</w:t>
      </w:r>
      <w:r w:rsidRPr="000F0D30">
        <w:t xml:space="preserve">  </w:t>
      </w:r>
      <w:r w:rsidR="00934368" w:rsidRPr="000F0D30">
        <w:t>Bravo and Martinez argue</w:t>
      </w:r>
      <w:r w:rsidR="00BD45AD">
        <w:t>d</w:t>
      </w:r>
      <w:r w:rsidR="00536B21">
        <w:t xml:space="preserve"> the contrary by claiming, </w:t>
      </w:r>
      <w:r w:rsidR="00934368" w:rsidRPr="000F0D30">
        <w:t xml:space="preserve">upon remand, the district court acquitted their bribery charge, which was a final decision at the time the line order was published and </w:t>
      </w:r>
      <w:r w:rsidR="00536B21">
        <w:t>thus</w:t>
      </w:r>
      <w:r w:rsidR="000703ED">
        <w:t>,</w:t>
      </w:r>
      <w:r w:rsidR="00536B21">
        <w:t xml:space="preserve"> the court</w:t>
      </w:r>
      <w:r w:rsidR="00934368" w:rsidRPr="000F0D30">
        <w:t xml:space="preserve"> had no right to vacate the final acquitted decision.</w:t>
      </w:r>
      <w:r w:rsidR="008E75F5">
        <w:rPr>
          <w:vertAlign w:val="superscript"/>
        </w:rPr>
        <w:t>61</w:t>
      </w:r>
      <w:r w:rsidR="00934368" w:rsidRPr="000F0D30">
        <w:t xml:space="preserve"> </w:t>
      </w:r>
      <w:r w:rsidR="0078426D" w:rsidRPr="000F0D30">
        <w:t xml:space="preserve"> Furthermore, they also argue</w:t>
      </w:r>
      <w:r w:rsidR="00536B21">
        <w:t>d</w:t>
      </w:r>
      <w:r w:rsidR="0078426D" w:rsidRPr="000F0D30">
        <w:t xml:space="preserve">, </w:t>
      </w:r>
      <w:r w:rsidR="007A2C8F" w:rsidRPr="000F0D30">
        <w:t xml:space="preserve">under </w:t>
      </w:r>
      <w:r w:rsidR="007A2C8F" w:rsidRPr="000F0D30">
        <w:rPr>
          <w:i/>
        </w:rPr>
        <w:t>Yeager</w:t>
      </w:r>
      <w:r w:rsidR="0078426D" w:rsidRPr="000F0D30">
        <w:t>,</w:t>
      </w:r>
      <w:r w:rsidR="007A2C8F" w:rsidRPr="000F0D30">
        <w:t xml:space="preserve"> that </w:t>
      </w:r>
      <w:r w:rsidR="0078426D" w:rsidRPr="000F0D30">
        <w:t xml:space="preserve">their vacated counts should </w:t>
      </w:r>
      <w:r w:rsidR="00536B21">
        <w:t>have been</w:t>
      </w:r>
      <w:r w:rsidR="0078426D" w:rsidRPr="000F0D30">
        <w:t xml:space="preserve"> treated as hung counts, and since </w:t>
      </w:r>
      <w:r w:rsidR="007A2C8F" w:rsidRPr="000F0D30">
        <w:t xml:space="preserve">hung counts constitute a “nonevent” </w:t>
      </w:r>
      <w:r w:rsidR="0078426D" w:rsidRPr="000F0D30">
        <w:t>but still</w:t>
      </w:r>
      <w:r w:rsidR="007A2C8F" w:rsidRPr="000F0D30">
        <w:t xml:space="preserve"> tr</w:t>
      </w:r>
      <w:r w:rsidR="0078426D" w:rsidRPr="000F0D30">
        <w:t>eated as a final jury decision, double jeopardy should</w:t>
      </w:r>
      <w:r w:rsidR="00536B21">
        <w:t xml:space="preserve"> have</w:t>
      </w:r>
      <w:r w:rsidR="0078426D" w:rsidRPr="000F0D30">
        <w:t xml:space="preserve"> preclude</w:t>
      </w:r>
      <w:r w:rsidR="00536B21">
        <w:t>d</w:t>
      </w:r>
      <w:r w:rsidR="0078426D" w:rsidRPr="000F0D30">
        <w:t xml:space="preserve"> the hung counts from being subjected to a retrial.</w:t>
      </w:r>
      <w:r w:rsidR="008E75F5">
        <w:rPr>
          <w:vertAlign w:val="superscript"/>
        </w:rPr>
        <w:t>62</w:t>
      </w:r>
    </w:p>
    <w:p w14:paraId="54B9C2F2" w14:textId="009457C6" w:rsidR="009A30BF" w:rsidRDefault="006B1E87" w:rsidP="009A30BF">
      <w:pPr>
        <w:pBdr>
          <w:bottom w:val="single" w:sz="6" w:space="1" w:color="auto"/>
        </w:pBdr>
        <w:ind w:firstLine="720"/>
        <w:jc w:val="both"/>
        <w:rPr>
          <w:sz w:val="22"/>
          <w:szCs w:val="22"/>
          <w:vertAlign w:val="superscript"/>
        </w:rPr>
      </w:pPr>
      <w:r>
        <w:t xml:space="preserve">After rejecting Bravo and Martinez’s contentions, the court </w:t>
      </w:r>
      <w:r w:rsidR="00934368">
        <w:t>continue</w:t>
      </w:r>
      <w:r w:rsidR="00536B21">
        <w:t>d</w:t>
      </w:r>
      <w:r>
        <w:t xml:space="preserve"> to explain their rationale to</w:t>
      </w:r>
      <w:r w:rsidR="0073684C">
        <w:t xml:space="preserve"> follow </w:t>
      </w:r>
      <w:r>
        <w:rPr>
          <w:i/>
        </w:rPr>
        <w:t xml:space="preserve">Ashe </w:t>
      </w:r>
      <w:r w:rsidR="0073684C">
        <w:t>by stating if an issue of ultimate fact is determined by the jury’s acquittal, then the prosecution is collaterally estopped from l</w:t>
      </w:r>
      <w:r w:rsidR="00756662">
        <w:t>itigating the same issue again.</w:t>
      </w:r>
      <w:r w:rsidR="005218E7">
        <w:rPr>
          <w:vertAlign w:val="superscript"/>
        </w:rPr>
        <w:t>63</w:t>
      </w:r>
      <w:r w:rsidR="00756662">
        <w:t xml:space="preserve"> </w:t>
      </w:r>
      <w:r w:rsidR="005218E7">
        <w:t xml:space="preserve"> </w:t>
      </w:r>
      <w:r w:rsidR="000703ED">
        <w:t>However,</w:t>
      </w:r>
      <w:r w:rsidR="0073684C">
        <w:t xml:space="preserve"> the court also </w:t>
      </w:r>
      <w:r w:rsidR="00536B21">
        <w:t>noted</w:t>
      </w:r>
      <w:r w:rsidR="0073684C">
        <w:t xml:space="preserve"> a limitation to this rule</w:t>
      </w:r>
      <w:r w:rsidR="00756662">
        <w:t xml:space="preserve">, that any acquittals must be </w:t>
      </w:r>
      <w:r w:rsidR="00FF0145">
        <w:t>practically analyzed</w:t>
      </w:r>
      <w:r w:rsidR="00756662">
        <w:t xml:space="preserve"> to conclude what issue the jury founded their decision on.</w:t>
      </w:r>
      <w:r w:rsidR="005218E7">
        <w:rPr>
          <w:vertAlign w:val="superscript"/>
        </w:rPr>
        <w:t>64</w:t>
      </w:r>
      <w:r w:rsidR="00756662">
        <w:t xml:space="preserve">  </w:t>
      </w:r>
      <w:r w:rsidR="008672B5">
        <w:t>The</w:t>
      </w:r>
      <w:r w:rsidR="00756662">
        <w:t xml:space="preserve"> court </w:t>
      </w:r>
      <w:r w:rsidR="008672B5">
        <w:t xml:space="preserve">then </w:t>
      </w:r>
      <w:r w:rsidR="00536B21">
        <w:t>looked</w:t>
      </w:r>
      <w:r w:rsidR="00756662">
        <w:t xml:space="preserve"> to</w:t>
      </w:r>
      <w:r w:rsidR="0073684C">
        <w:t xml:space="preserve"> </w:t>
      </w:r>
      <w:r w:rsidR="00934368">
        <w:rPr>
          <w:i/>
        </w:rPr>
        <w:t>Powell</w:t>
      </w:r>
      <w:r w:rsidR="00756662">
        <w:t xml:space="preserve"> to further examine this limitation</w:t>
      </w:r>
      <w:r w:rsidR="002D33B3">
        <w:t xml:space="preserve"> when the jury’s intent is unknown</w:t>
      </w:r>
      <w:r w:rsidR="00756662">
        <w:t>.</w:t>
      </w:r>
      <w:r w:rsidR="008672B5">
        <w:rPr>
          <w:vertAlign w:val="superscript"/>
        </w:rPr>
        <w:t>65</w:t>
      </w:r>
      <w:r w:rsidR="0073684C">
        <w:t xml:space="preserve"> </w:t>
      </w:r>
      <w:r w:rsidR="008672B5">
        <w:t xml:space="preserve"> </w:t>
      </w:r>
      <w:r w:rsidR="0073684C" w:rsidRPr="008F1B65">
        <w:rPr>
          <w:i/>
        </w:rPr>
        <w:t>Powell</w:t>
      </w:r>
      <w:r w:rsidR="0073684C">
        <w:t xml:space="preserve"> </w:t>
      </w:r>
      <w:r w:rsidR="00536B21">
        <w:t>held</w:t>
      </w:r>
      <w:r w:rsidR="0073684C">
        <w:t xml:space="preserve"> that </w:t>
      </w:r>
      <w:r w:rsidR="00934368">
        <w:t xml:space="preserve">an inconsistent conviction </w:t>
      </w:r>
      <w:r w:rsidR="00536B21">
        <w:t>is</w:t>
      </w:r>
      <w:r w:rsidR="00934368">
        <w:t xml:space="preserve"> </w:t>
      </w:r>
      <w:r w:rsidR="00976C59" w:rsidRPr="00976C59">
        <w:rPr>
          <w:i/>
        </w:rPr>
        <w:t>not</w:t>
      </w:r>
      <w:r w:rsidR="00976C59">
        <w:t xml:space="preserve"> </w:t>
      </w:r>
      <w:r w:rsidR="00934368">
        <w:t>abrogated by an acquittal</w:t>
      </w:r>
      <w:r w:rsidR="00976C59">
        <w:t xml:space="preserve"> </w:t>
      </w:r>
      <w:r w:rsidR="00756662">
        <w:t>when</w:t>
      </w:r>
      <w:r w:rsidR="00934368">
        <w:t xml:space="preserve"> it is not possible to determine </w:t>
      </w:r>
      <w:r w:rsidR="00915A16">
        <w:t>which of the inconsistent verdicts the jury “really meant” thus collateral estoppel is “impossible to apply”.</w:t>
      </w:r>
      <w:r w:rsidR="008672B5">
        <w:rPr>
          <w:vertAlign w:val="superscript"/>
        </w:rPr>
        <w:t>66</w:t>
      </w:r>
      <w:r w:rsidR="00915A16">
        <w:t xml:space="preserve">  </w:t>
      </w:r>
      <w:r w:rsidR="00970753">
        <w:t xml:space="preserve">This court in Fernandez </w:t>
      </w:r>
      <w:r w:rsidR="00536B21">
        <w:t>believed</w:t>
      </w:r>
      <w:r w:rsidR="00970753">
        <w:t xml:space="preserve"> that the defendants’ vacated convictions </w:t>
      </w:r>
      <w:r w:rsidR="00536B21">
        <w:t>inhibited</w:t>
      </w:r>
      <w:r w:rsidR="00970753">
        <w:t xml:space="preserve"> the collateral estoppel effect of their acquittals.</w:t>
      </w:r>
      <w:r w:rsidR="00FF3403">
        <w:rPr>
          <w:vertAlign w:val="superscript"/>
        </w:rPr>
        <w:t>67</w:t>
      </w:r>
      <w:r w:rsidR="00970753">
        <w:t xml:space="preserve"> </w:t>
      </w:r>
    </w:p>
    <w:p w14:paraId="240EB70B" w14:textId="240A36C8" w:rsidR="009A30BF" w:rsidRDefault="00976C59" w:rsidP="009A30BF">
      <w:pPr>
        <w:pBdr>
          <w:bottom w:val="single" w:sz="6" w:space="1" w:color="auto"/>
        </w:pBdr>
        <w:ind w:firstLine="720"/>
        <w:jc w:val="both"/>
        <w:rPr>
          <w:sz w:val="22"/>
          <w:szCs w:val="22"/>
          <w:vertAlign w:val="superscript"/>
        </w:rPr>
      </w:pPr>
      <w:r w:rsidRPr="0039674C">
        <w:t xml:space="preserve">The court also </w:t>
      </w:r>
      <w:r w:rsidR="00536B21">
        <w:t>noted</w:t>
      </w:r>
      <w:r w:rsidRPr="0039674C">
        <w:t xml:space="preserve"> two requirements</w:t>
      </w:r>
      <w:r w:rsidR="00970753" w:rsidRPr="0039674C">
        <w:t xml:space="preserve"> that the defendants </w:t>
      </w:r>
      <w:r w:rsidR="00536B21">
        <w:t>had to</w:t>
      </w:r>
      <w:r w:rsidR="00970753" w:rsidRPr="0039674C">
        <w:t xml:space="preserve"> prove in order to obtain collateral estoppel</w:t>
      </w:r>
      <w:r w:rsidR="0039674C" w:rsidRPr="0039674C">
        <w:t>’s issue preclusion</w:t>
      </w:r>
      <w:r w:rsidRPr="0039674C">
        <w:t xml:space="preserve">: the defendants </w:t>
      </w:r>
      <w:r w:rsidR="00536B21">
        <w:t>had</w:t>
      </w:r>
      <w:r w:rsidRPr="0039674C">
        <w:t xml:space="preserve"> the burden of proof to show that their acquittals (on the travel act and the conspiracy counts) would </w:t>
      </w:r>
      <w:r w:rsidR="00536B21">
        <w:t xml:space="preserve">have </w:t>
      </w:r>
      <w:r w:rsidRPr="0039674C">
        <w:t>collaterally estop</w:t>
      </w:r>
      <w:r w:rsidR="00536B21">
        <w:t>ped</w:t>
      </w:r>
      <w:r w:rsidRPr="0039674C">
        <w:t xml:space="preserve"> the standalone 666 counts, and their now-vacated convictions</w:t>
      </w:r>
      <w:r>
        <w:t xml:space="preserve"> </w:t>
      </w:r>
      <w:r w:rsidR="00536B21">
        <w:t>did</w:t>
      </w:r>
      <w:r>
        <w:t xml:space="preserve"> not </w:t>
      </w:r>
      <w:r w:rsidR="00970753">
        <w:t xml:space="preserve">inhibit the collateral estoppel effect of their </w:t>
      </w:r>
      <w:r>
        <w:t>acqui</w:t>
      </w:r>
      <w:r w:rsidR="00970753">
        <w:t>ttals</w:t>
      </w:r>
      <w:r>
        <w:t>.</w:t>
      </w:r>
      <w:r w:rsidR="001717D8">
        <w:rPr>
          <w:vertAlign w:val="superscript"/>
        </w:rPr>
        <w:t>68</w:t>
      </w:r>
      <w:r w:rsidR="00970753">
        <w:t xml:space="preserve"> </w:t>
      </w:r>
      <w:r>
        <w:t xml:space="preserve"> </w:t>
      </w:r>
      <w:r w:rsidR="006B646F">
        <w:t>The court began</w:t>
      </w:r>
      <w:r w:rsidR="00970753">
        <w:t xml:space="preserve"> by only examining the acquittals </w:t>
      </w:r>
      <w:r w:rsidR="0039674C">
        <w:t xml:space="preserve">to see if they </w:t>
      </w:r>
      <w:r w:rsidR="00970753">
        <w:t xml:space="preserve">would </w:t>
      </w:r>
      <w:r w:rsidR="00536B21">
        <w:t xml:space="preserve">have </w:t>
      </w:r>
      <w:r w:rsidR="00970753">
        <w:t>support</w:t>
      </w:r>
      <w:r w:rsidR="00536B21">
        <w:t>ed</w:t>
      </w:r>
      <w:r w:rsidR="00970753">
        <w:t xml:space="preserve"> </w:t>
      </w:r>
      <w:r w:rsidR="0039674C">
        <w:t>a collateral estoppel argument.</w:t>
      </w:r>
      <w:r w:rsidR="001717D8">
        <w:rPr>
          <w:vertAlign w:val="superscript"/>
        </w:rPr>
        <w:t>6</w:t>
      </w:r>
      <w:r w:rsidR="0039674C">
        <w:rPr>
          <w:vertAlign w:val="superscript"/>
        </w:rPr>
        <w:t>9</w:t>
      </w:r>
      <w:r w:rsidR="00970753">
        <w:t xml:space="preserve"> </w:t>
      </w:r>
      <w:r w:rsidR="001717D8">
        <w:t xml:space="preserve"> </w:t>
      </w:r>
      <w:r w:rsidR="00970753">
        <w:t>The defendants argue</w:t>
      </w:r>
      <w:r w:rsidR="006B646F">
        <w:t>d</w:t>
      </w:r>
      <w:r w:rsidR="00970753">
        <w:t xml:space="preserve"> that</w:t>
      </w:r>
      <w:r w:rsidR="00536B21">
        <w:t>,</w:t>
      </w:r>
      <w:r w:rsidR="00970753">
        <w:t xml:space="preserve"> in acquitting them, the jury decided that the government did not prove they violated the bribery statute based on the exchange theory.</w:t>
      </w:r>
      <w:r w:rsidR="0039674C">
        <w:rPr>
          <w:vertAlign w:val="superscript"/>
        </w:rPr>
        <w:t>70</w:t>
      </w:r>
      <w:r w:rsidR="00970753">
        <w:t xml:space="preserve"> </w:t>
      </w:r>
      <w:r w:rsidR="001717D8">
        <w:t xml:space="preserve"> </w:t>
      </w:r>
      <w:r w:rsidR="00970753">
        <w:t xml:space="preserve">The court </w:t>
      </w:r>
      <w:r w:rsidR="0073684C">
        <w:t xml:space="preserve">first </w:t>
      </w:r>
      <w:r w:rsidR="00970753">
        <w:t xml:space="preserve">noted </w:t>
      </w:r>
      <w:r w:rsidR="0073684C">
        <w:t>neither of</w:t>
      </w:r>
      <w:r w:rsidR="00970753">
        <w:t xml:space="preserve"> the two offe</w:t>
      </w:r>
      <w:r w:rsidR="0073684C">
        <w:t xml:space="preserve">nses, conspiracy </w:t>
      </w:r>
      <w:r w:rsidR="00536B21">
        <w:t>nor</w:t>
      </w:r>
      <w:r w:rsidR="0073684C">
        <w:t xml:space="preserve"> </w:t>
      </w:r>
      <w:r w:rsidR="00536B21">
        <w:t xml:space="preserve">the </w:t>
      </w:r>
      <w:r w:rsidR="0073684C">
        <w:t xml:space="preserve">travel act, involved </w:t>
      </w:r>
      <w:r w:rsidR="000703ED">
        <w:t>having to prove</w:t>
      </w:r>
      <w:r w:rsidR="0073684C">
        <w:t xml:space="preserve"> </w:t>
      </w:r>
      <w:r w:rsidR="00970753">
        <w:t>the predicate offense of bribery</w:t>
      </w:r>
      <w:r w:rsidR="0073684C">
        <w:t>, but rather independent elements that were not relat</w:t>
      </w:r>
      <w:r w:rsidR="000703ED">
        <w:t>ed to collateral estoppel, thus, they suggested</w:t>
      </w:r>
      <w:r w:rsidR="0073684C">
        <w:t xml:space="preserve"> that the first requirement </w:t>
      </w:r>
      <w:r w:rsidR="00536B21">
        <w:t>was</w:t>
      </w:r>
      <w:r w:rsidR="0073684C">
        <w:t xml:space="preserve"> not met.</w:t>
      </w:r>
      <w:r w:rsidR="001717D8">
        <w:rPr>
          <w:vertAlign w:val="superscript"/>
        </w:rPr>
        <w:t>7</w:t>
      </w:r>
      <w:r w:rsidR="0039674C">
        <w:rPr>
          <w:vertAlign w:val="superscript"/>
        </w:rPr>
        <w:t>1</w:t>
      </w:r>
      <w:r w:rsidR="0073684C">
        <w:t xml:space="preserve"> </w:t>
      </w:r>
    </w:p>
    <w:p w14:paraId="63F7001A" w14:textId="1EA035BE" w:rsidR="009A30BF" w:rsidRDefault="006B646F" w:rsidP="009A30BF">
      <w:pPr>
        <w:pBdr>
          <w:bottom w:val="single" w:sz="6" w:space="1" w:color="auto"/>
        </w:pBdr>
        <w:ind w:firstLine="720"/>
        <w:jc w:val="both"/>
        <w:rPr>
          <w:sz w:val="22"/>
          <w:szCs w:val="22"/>
          <w:vertAlign w:val="superscript"/>
        </w:rPr>
      </w:pPr>
      <w:r>
        <w:t>They continued to the second requirement to see if the two acquittals would have lost their collateral estoppel effect due to the vacated convictions.</w:t>
      </w:r>
      <w:r>
        <w:rPr>
          <w:vertAlign w:val="superscript"/>
        </w:rPr>
        <w:t>72</w:t>
      </w:r>
      <w:r>
        <w:t xml:space="preserve">  The court believed</w:t>
      </w:r>
      <w:r w:rsidR="0073684C">
        <w:t xml:space="preserve"> that they </w:t>
      </w:r>
      <w:r w:rsidR="0073684C" w:rsidRPr="0039674C">
        <w:t>must</w:t>
      </w:r>
      <w:r w:rsidR="00536B21">
        <w:t xml:space="preserve"> have</w:t>
      </w:r>
      <w:r w:rsidR="0073684C">
        <w:t xml:space="preserve"> consider</w:t>
      </w:r>
      <w:r w:rsidR="00536B21">
        <w:t>ed</w:t>
      </w:r>
      <w:r w:rsidR="0073684C">
        <w:t xml:space="preserve"> the vacated convictions as part of the collatera</w:t>
      </w:r>
      <w:r w:rsidR="00FF0145">
        <w:t xml:space="preserve">l estoppel inquiry, under </w:t>
      </w:r>
      <w:r w:rsidR="00FF0145" w:rsidRPr="001717D8">
        <w:rPr>
          <w:i/>
        </w:rPr>
        <w:t>Ashe</w:t>
      </w:r>
      <w:r w:rsidR="00FF0145">
        <w:t>, because vacated convictions are “set[] aside” convictions</w:t>
      </w:r>
      <w:r w:rsidR="0039674C">
        <w:rPr>
          <w:vertAlign w:val="superscript"/>
        </w:rPr>
        <w:t>73</w:t>
      </w:r>
      <w:r w:rsidR="00FF0145">
        <w:t xml:space="preserve"> that still must be </w:t>
      </w:r>
      <w:r w:rsidR="000703ED">
        <w:t xml:space="preserve">accounted for </w:t>
      </w:r>
      <w:r w:rsidR="00FF0145">
        <w:t>when performing a practical analysis of the jury’s decision to determine what issues were decided.</w:t>
      </w:r>
      <w:r w:rsidR="001717D8">
        <w:rPr>
          <w:vertAlign w:val="superscript"/>
        </w:rPr>
        <w:t>7</w:t>
      </w:r>
      <w:r w:rsidR="0039674C">
        <w:rPr>
          <w:vertAlign w:val="superscript"/>
        </w:rPr>
        <w:t>4</w:t>
      </w:r>
      <w:r w:rsidR="00FF0145">
        <w:t xml:space="preserve">  The court further </w:t>
      </w:r>
      <w:r w:rsidR="00536B21">
        <w:t>analyzed</w:t>
      </w:r>
      <w:r w:rsidR="00FF0145">
        <w:t xml:space="preserve"> the convictions by accounting for the fact that the conviction was only vacated due to trial error which is </w:t>
      </w:r>
      <w:r w:rsidR="00FF0145" w:rsidRPr="00FF0145">
        <w:rPr>
          <w:i/>
        </w:rPr>
        <w:t>not</w:t>
      </w:r>
      <w:r w:rsidR="00FF0145">
        <w:t xml:space="preserve"> a decision of not guilty or that the government failed to prove its case.</w:t>
      </w:r>
      <w:r w:rsidR="001717D8">
        <w:rPr>
          <w:vertAlign w:val="superscript"/>
        </w:rPr>
        <w:t>7</w:t>
      </w:r>
      <w:r w:rsidR="0039674C">
        <w:rPr>
          <w:vertAlign w:val="superscript"/>
        </w:rPr>
        <w:t>5</w:t>
      </w:r>
      <w:r w:rsidR="00FF0145">
        <w:t xml:space="preserve">  </w:t>
      </w:r>
      <w:r w:rsidR="00B03B61">
        <w:t xml:space="preserve">Furthermore, the defendants </w:t>
      </w:r>
      <w:r>
        <w:t>relied</w:t>
      </w:r>
      <w:r w:rsidR="00B03B61">
        <w:t xml:space="preserve"> on </w:t>
      </w:r>
      <w:r w:rsidR="00B03B61" w:rsidRPr="00965496">
        <w:rPr>
          <w:i/>
        </w:rPr>
        <w:t>Yeager</w:t>
      </w:r>
      <w:r w:rsidR="00B03B61">
        <w:t xml:space="preserve"> to suggest that vacated verdicts should </w:t>
      </w:r>
      <w:r w:rsidR="00536B21">
        <w:t>have been</w:t>
      </w:r>
      <w:r w:rsidR="00B03B61">
        <w:t xml:space="preserve"> treated like hung counts and disregarded when performing a practical analysis of the record.</w:t>
      </w:r>
      <w:r w:rsidR="00965496">
        <w:rPr>
          <w:vertAlign w:val="superscript"/>
        </w:rPr>
        <w:t>76</w:t>
      </w:r>
      <w:r w:rsidR="00B03B61">
        <w:t xml:space="preserve"> </w:t>
      </w:r>
      <w:r w:rsidR="00965496">
        <w:t xml:space="preserve"> </w:t>
      </w:r>
      <w:r w:rsidR="00B03B61">
        <w:t xml:space="preserve">This court rejected the suggestion that </w:t>
      </w:r>
      <w:r w:rsidR="00B03B61" w:rsidRPr="00536B21">
        <w:rPr>
          <w:i/>
        </w:rPr>
        <w:t>Yeager</w:t>
      </w:r>
      <w:r w:rsidR="00B03B61">
        <w:t xml:space="preserve"> support</w:t>
      </w:r>
      <w:r w:rsidR="00536B21">
        <w:t>ed</w:t>
      </w:r>
      <w:r w:rsidR="00B03B61">
        <w:t xml:space="preserve"> vacated convictions being treated like hung counts.</w:t>
      </w:r>
      <w:r w:rsidR="00B03B61" w:rsidRPr="00B03B61">
        <w:rPr>
          <w:vertAlign w:val="superscript"/>
        </w:rPr>
        <w:t>2</w:t>
      </w:r>
      <w:r w:rsidR="008322A7">
        <w:rPr>
          <w:vertAlign w:val="superscript"/>
        </w:rPr>
        <w:t>0</w:t>
      </w:r>
      <w:r w:rsidR="008322A7">
        <w:t xml:space="preserve"> </w:t>
      </w:r>
      <w:r w:rsidR="00965496">
        <w:t xml:space="preserve"> </w:t>
      </w:r>
      <w:r>
        <w:t>The court claimed</w:t>
      </w:r>
      <w:r w:rsidR="00066195">
        <w:t xml:space="preserve"> vacated convictions </w:t>
      </w:r>
      <w:r w:rsidR="00536B21">
        <w:t>still</w:t>
      </w:r>
      <w:r w:rsidR="003A4B73">
        <w:t xml:space="preserve"> had to be</w:t>
      </w:r>
      <w:r w:rsidR="00245C05">
        <w:t xml:space="preserve"> </w:t>
      </w:r>
      <w:r w:rsidR="00536B21">
        <w:t>taken into account</w:t>
      </w:r>
      <w:r w:rsidR="00245C05">
        <w:t xml:space="preserve"> because</w:t>
      </w:r>
      <w:r w:rsidR="00066195">
        <w:t xml:space="preserve"> the vacated conviction </w:t>
      </w:r>
      <w:r w:rsidR="000703ED">
        <w:t>would</w:t>
      </w:r>
      <w:r w:rsidR="00066195">
        <w:t xml:space="preserve"> </w:t>
      </w:r>
      <w:r w:rsidR="00536B21">
        <w:t>conflict</w:t>
      </w:r>
      <w:r w:rsidR="00066195">
        <w:t xml:space="preserve"> with an acquittal, leading to inconsistency that results in an inability to determine what the jury decided, thus </w:t>
      </w:r>
      <w:r w:rsidR="00245C05">
        <w:t>collateral estoppel would be excluded.</w:t>
      </w:r>
      <w:r w:rsidR="001717D8">
        <w:rPr>
          <w:vertAlign w:val="superscript"/>
        </w:rPr>
        <w:t>7</w:t>
      </w:r>
      <w:r w:rsidR="0039674C">
        <w:rPr>
          <w:vertAlign w:val="superscript"/>
        </w:rPr>
        <w:t>8</w:t>
      </w:r>
      <w:r w:rsidR="00245C05">
        <w:t xml:space="preserve"> </w:t>
      </w:r>
    </w:p>
    <w:p w14:paraId="79F341E9" w14:textId="2A6651B0" w:rsidR="009A30BF" w:rsidRDefault="000703ED" w:rsidP="009A30BF">
      <w:pPr>
        <w:pBdr>
          <w:bottom w:val="single" w:sz="6" w:space="1" w:color="auto"/>
        </w:pBdr>
        <w:ind w:firstLine="720"/>
        <w:jc w:val="both"/>
        <w:rPr>
          <w:sz w:val="22"/>
          <w:szCs w:val="22"/>
          <w:vertAlign w:val="superscript"/>
        </w:rPr>
      </w:pPr>
      <w:r>
        <w:t xml:space="preserve">Bravo and Martinez had a fallback argument in case the court rejected their previous argument.  They </w:t>
      </w:r>
      <w:r w:rsidR="006B646F">
        <w:t>stated</w:t>
      </w:r>
      <w:r w:rsidR="00AB1D5C">
        <w:t xml:space="preserve"> the convictions, including the vacated bribery conviction, </w:t>
      </w:r>
      <w:r w:rsidR="003A4B73">
        <w:t>were</w:t>
      </w:r>
      <w:r w:rsidR="00AB1D5C">
        <w:t xml:space="preserve"> consistent with the acquittals for offenses having the bribery as a predicate offense</w:t>
      </w:r>
      <w:r w:rsidR="00A71D46">
        <w:t>.</w:t>
      </w:r>
      <w:r w:rsidR="001717D8" w:rsidRPr="001717D8">
        <w:rPr>
          <w:vertAlign w:val="superscript"/>
        </w:rPr>
        <w:t xml:space="preserve"> </w:t>
      </w:r>
      <w:r w:rsidR="001717D8">
        <w:rPr>
          <w:vertAlign w:val="superscript"/>
        </w:rPr>
        <w:t>7</w:t>
      </w:r>
      <w:r w:rsidR="0039674C">
        <w:rPr>
          <w:vertAlign w:val="superscript"/>
        </w:rPr>
        <w:t>9</w:t>
      </w:r>
      <w:r w:rsidR="00A71D46">
        <w:t xml:space="preserve"> </w:t>
      </w:r>
      <w:r w:rsidR="001717D8">
        <w:t xml:space="preserve"> </w:t>
      </w:r>
      <w:r w:rsidR="00A71D46">
        <w:t>They further argued that the conviction of bribery (now vacated) was a result of the improper gratuity theory</w:t>
      </w:r>
      <w:r w:rsidR="00AB1D5C">
        <w:t>,</w:t>
      </w:r>
      <w:r w:rsidR="00A71D46">
        <w:t xml:space="preserve"> making a conviction with improper jury instructions (that gave a conflicting definition of bribery) consistent with the other two acquittals,</w:t>
      </w:r>
      <w:r w:rsidR="00AB1D5C">
        <w:t xml:space="preserve"> thus collateral estoppel would still apply.</w:t>
      </w:r>
      <w:r w:rsidR="0039674C">
        <w:rPr>
          <w:vertAlign w:val="superscript"/>
        </w:rPr>
        <w:t>80</w:t>
      </w:r>
      <w:r w:rsidR="00AB1D5C">
        <w:t xml:space="preserve"> </w:t>
      </w:r>
      <w:r w:rsidR="001717D8">
        <w:t xml:space="preserve"> </w:t>
      </w:r>
      <w:r w:rsidR="00AB1D5C">
        <w:t>However, the</w:t>
      </w:r>
      <w:r w:rsidR="00A71D46">
        <w:t xml:space="preserve"> court rejected this argument, stating the verdicts were inconsistent with respect to the bribery charge as a predicate offense because all three offenses, not just the bribery offense, relied on the jury’s acceptance of the erroneous gratuity theory.</w:t>
      </w:r>
      <w:r w:rsidR="001717D8">
        <w:rPr>
          <w:vertAlign w:val="superscript"/>
        </w:rPr>
        <w:t>8</w:t>
      </w:r>
      <w:r w:rsidR="0039674C">
        <w:rPr>
          <w:vertAlign w:val="superscript"/>
        </w:rPr>
        <w:t>1</w:t>
      </w:r>
      <w:r w:rsidR="00C667E7">
        <w:t xml:space="preserve">  </w:t>
      </w:r>
      <w:r w:rsidR="006B6F33">
        <w:t>Ultimately, the appellate court decided that</w:t>
      </w:r>
      <w:r w:rsidR="003A4B73">
        <w:t>,</w:t>
      </w:r>
      <w:r w:rsidR="006B6F33">
        <w:t xml:space="preserve"> due to the inconsistent verdicts, the jury must have rejected the exchange-theory of the bribery conviction jury instructions, and thus</w:t>
      </w:r>
      <w:r w:rsidR="008F1B65">
        <w:t>, similar to</w:t>
      </w:r>
      <w:r w:rsidR="006B6F33">
        <w:t xml:space="preserve"> the ruling in </w:t>
      </w:r>
      <w:r w:rsidR="006B6F33">
        <w:rPr>
          <w:i/>
        </w:rPr>
        <w:t>Powell</w:t>
      </w:r>
      <w:r w:rsidR="008F1B65">
        <w:t xml:space="preserve">, the </w:t>
      </w:r>
      <w:r w:rsidR="008E0F74">
        <w:t>inconsistent verdicts, though possibly reached by mistake, still</w:t>
      </w:r>
      <w:r w:rsidR="006B6F33">
        <w:t xml:space="preserve"> </w:t>
      </w:r>
      <w:r w:rsidR="003A4B73">
        <w:t>prevented</w:t>
      </w:r>
      <w:r w:rsidR="006B6F33">
        <w:t xml:space="preserve"> co</w:t>
      </w:r>
      <w:r w:rsidR="001717D8">
        <w:t>llateral estoppel in this case.</w:t>
      </w:r>
      <w:r w:rsidR="001717D8">
        <w:rPr>
          <w:vertAlign w:val="superscript"/>
        </w:rPr>
        <w:t>8</w:t>
      </w:r>
      <w:r w:rsidR="0039674C">
        <w:rPr>
          <w:vertAlign w:val="superscript"/>
        </w:rPr>
        <w:t>2</w:t>
      </w:r>
    </w:p>
    <w:p w14:paraId="1F646E70" w14:textId="77777777" w:rsidR="009A30BF" w:rsidRDefault="009A30BF" w:rsidP="009A30BF">
      <w:pPr>
        <w:pBdr>
          <w:bottom w:val="single" w:sz="6" w:space="1" w:color="auto"/>
        </w:pBdr>
        <w:jc w:val="both"/>
        <w:rPr>
          <w:b/>
        </w:rPr>
      </w:pPr>
    </w:p>
    <w:p w14:paraId="5F0FF6EA" w14:textId="3F516B9A" w:rsidR="00580E22" w:rsidRDefault="00580E22" w:rsidP="009A30BF">
      <w:pPr>
        <w:pBdr>
          <w:bottom w:val="single" w:sz="6" w:space="1" w:color="auto"/>
        </w:pBdr>
        <w:jc w:val="both"/>
        <w:rPr>
          <w:b/>
        </w:rPr>
      </w:pPr>
      <w:r>
        <w:rPr>
          <w:b/>
        </w:rPr>
        <w:t xml:space="preserve">B. </w:t>
      </w:r>
      <w:r w:rsidR="00ED23BC" w:rsidRPr="00ED23BC">
        <w:rPr>
          <w:b/>
        </w:rPr>
        <w:t xml:space="preserve">The </w:t>
      </w:r>
      <w:r w:rsidR="006B6F33" w:rsidRPr="00ED23BC">
        <w:rPr>
          <w:b/>
        </w:rPr>
        <w:t>Line Orde</w:t>
      </w:r>
      <w:r w:rsidR="009A30BF">
        <w:rPr>
          <w:b/>
        </w:rPr>
        <w:t>r</w:t>
      </w:r>
    </w:p>
    <w:p w14:paraId="1317C93A" w14:textId="77777777" w:rsidR="00580E22" w:rsidRDefault="00580E22" w:rsidP="009A30BF">
      <w:pPr>
        <w:pBdr>
          <w:bottom w:val="single" w:sz="6" w:space="1" w:color="auto"/>
        </w:pBdr>
        <w:jc w:val="both"/>
        <w:rPr>
          <w:b/>
        </w:rPr>
      </w:pPr>
    </w:p>
    <w:p w14:paraId="539FDBC6" w14:textId="6A046E9D" w:rsidR="009A30BF" w:rsidRDefault="006B6F33" w:rsidP="009A30BF">
      <w:pPr>
        <w:pBdr>
          <w:bottom w:val="single" w:sz="6" w:space="1" w:color="auto"/>
        </w:pBdr>
        <w:ind w:firstLine="720"/>
        <w:jc w:val="both"/>
        <w:rPr>
          <w:b/>
        </w:rPr>
      </w:pPr>
      <w:r w:rsidRPr="00872720">
        <w:t xml:space="preserve">The defendant’s </w:t>
      </w:r>
      <w:r w:rsidR="00C21848" w:rsidRPr="00872720">
        <w:t>final argument was</w:t>
      </w:r>
      <w:r w:rsidRPr="00872720">
        <w:t xml:space="preserve"> that the District Court’s line order, that was vacated shortly after it was issued, was a directed entry of a final judgment of acquittal for both defendant’s federal bribery, standalone </w:t>
      </w:r>
      <w:r w:rsidR="00B47BD7" w:rsidRPr="00872720">
        <w:rPr>
          <w:color w:val="1C1C1C"/>
          <w:szCs w:val="28"/>
        </w:rPr>
        <w:t xml:space="preserve">§ </w:t>
      </w:r>
      <w:r w:rsidRPr="00872720">
        <w:t>666, counts.</w:t>
      </w:r>
      <w:r w:rsidR="00D61500" w:rsidRPr="00872720">
        <w:rPr>
          <w:vertAlign w:val="superscript"/>
        </w:rPr>
        <w:t>83</w:t>
      </w:r>
      <w:r w:rsidRPr="00872720">
        <w:t xml:space="preserve">  Since it was a final judgment, it was irreversible and any retrial of the charges would</w:t>
      </w:r>
      <w:r>
        <w:t xml:space="preserve"> violate the Do</w:t>
      </w:r>
      <w:r w:rsidR="00D61500">
        <w:t>uble Jeopardy Clause</w:t>
      </w:r>
      <w:r>
        <w:t>, which bars the retrial of a final acquittal, even if it was founded on court error</w:t>
      </w:r>
      <w:r w:rsidR="00214834">
        <w:t>.</w:t>
      </w:r>
      <w:r w:rsidR="00872720">
        <w:rPr>
          <w:vertAlign w:val="superscript"/>
        </w:rPr>
        <w:t>8</w:t>
      </w:r>
      <w:r w:rsidRPr="00214834">
        <w:rPr>
          <w:vertAlign w:val="superscript"/>
        </w:rPr>
        <w:t>4</w:t>
      </w:r>
      <w:r>
        <w:t xml:space="preserve"> </w:t>
      </w:r>
      <w:r w:rsidR="00872720">
        <w:t xml:space="preserve"> </w:t>
      </w:r>
      <w:r w:rsidR="00214834">
        <w:t>If the ruling “actually represents a resolution, correc</w:t>
      </w:r>
      <w:r w:rsidR="00F40BC3">
        <w:t>t or not of” the factual issues,</w:t>
      </w:r>
      <w:r w:rsidR="00214834">
        <w:t xml:space="preserve"> the order constituted a final judgment.</w:t>
      </w:r>
      <w:r w:rsidR="00872720">
        <w:rPr>
          <w:vertAlign w:val="superscript"/>
        </w:rPr>
        <w:t>8</w:t>
      </w:r>
      <w:r w:rsidR="00214834" w:rsidRPr="00214834">
        <w:rPr>
          <w:vertAlign w:val="superscript"/>
        </w:rPr>
        <w:t>5</w:t>
      </w:r>
      <w:r w:rsidR="00521F85">
        <w:t xml:space="preserve"> </w:t>
      </w:r>
      <w:r w:rsidR="00F40BC3">
        <w:t xml:space="preserve"> </w:t>
      </w:r>
      <w:r w:rsidR="00521F85">
        <w:t xml:space="preserve">The appellate court held that the line order was </w:t>
      </w:r>
      <w:r w:rsidR="00521F85">
        <w:rPr>
          <w:i/>
        </w:rPr>
        <w:t>not</w:t>
      </w:r>
      <w:r w:rsidR="00521F85">
        <w:t xml:space="preserve"> an acquittal because the district court did not</w:t>
      </w:r>
      <w:r w:rsidR="00F40BC3">
        <w:t xml:space="preserve"> evaluate the record but instead was </w:t>
      </w:r>
      <w:r w:rsidR="00521F85">
        <w:t xml:space="preserve">an act </w:t>
      </w:r>
      <w:r w:rsidR="00C667E7">
        <w:t>of their efforts to</w:t>
      </w:r>
      <w:r w:rsidR="00521F85">
        <w:t xml:space="preserve"> </w:t>
      </w:r>
      <w:r w:rsidR="00C667E7">
        <w:t>follow the appellate</w:t>
      </w:r>
      <w:r w:rsidR="00872720">
        <w:t xml:space="preserve"> court’s mandated instructions.</w:t>
      </w:r>
      <w:r w:rsidR="00872720">
        <w:rPr>
          <w:vertAlign w:val="superscript"/>
        </w:rPr>
        <w:t>86</w:t>
      </w:r>
      <w:r w:rsidR="00C667E7">
        <w:rPr>
          <w:vertAlign w:val="superscript"/>
        </w:rPr>
        <w:t xml:space="preserve"> </w:t>
      </w:r>
      <w:r w:rsidR="00C667E7">
        <w:t xml:space="preserve"> </w:t>
      </w:r>
      <w:r w:rsidR="00F40BC3">
        <w:t xml:space="preserve"> Due to</w:t>
      </w:r>
      <w:r w:rsidR="00C667E7">
        <w:t xml:space="preserve"> the </w:t>
      </w:r>
      <w:r w:rsidR="00F40BC3">
        <w:t xml:space="preserve">previous </w:t>
      </w:r>
      <w:r w:rsidR="00C667E7">
        <w:t>reasons mentioned, the acquittal did not constitute a substantive or an intentional acquittal.</w:t>
      </w:r>
      <w:r w:rsidR="00872720">
        <w:rPr>
          <w:vertAlign w:val="superscript"/>
        </w:rPr>
        <w:t>87</w:t>
      </w:r>
      <w:r w:rsidR="00C667E7">
        <w:t xml:space="preserve">  A substantive acquittal may be bared from </w:t>
      </w:r>
      <w:proofErr w:type="spellStart"/>
      <w:r w:rsidR="00C667E7">
        <w:t>relitigation</w:t>
      </w:r>
      <w:proofErr w:type="spellEnd"/>
      <w:r w:rsidR="00C667E7">
        <w:t xml:space="preserve"> due to the Double Jeopardy Clause but the court’s line order did not constitute that, thus the Double </w:t>
      </w:r>
      <w:r w:rsidR="00872720">
        <w:t>Jeopardy</w:t>
      </w:r>
      <w:r w:rsidR="00C667E7">
        <w:t xml:space="preserve"> Clause did not prevent the district court from </w:t>
      </w:r>
      <w:proofErr w:type="spellStart"/>
      <w:r w:rsidR="00C667E7">
        <w:t>relitigating</w:t>
      </w:r>
      <w:proofErr w:type="spellEnd"/>
      <w:r w:rsidR="00C667E7">
        <w:t>, or even vacating, the standalone bribery charges.</w:t>
      </w:r>
      <w:r w:rsidR="00872720">
        <w:rPr>
          <w:vertAlign w:val="superscript"/>
        </w:rPr>
        <w:t>88</w:t>
      </w:r>
    </w:p>
    <w:p w14:paraId="5EF0B42E" w14:textId="77777777" w:rsidR="009A30BF" w:rsidRDefault="009A30BF" w:rsidP="009A30BF">
      <w:pPr>
        <w:pBdr>
          <w:bottom w:val="single" w:sz="6" w:space="1" w:color="auto"/>
        </w:pBdr>
        <w:jc w:val="both"/>
        <w:rPr>
          <w:b/>
        </w:rPr>
      </w:pPr>
    </w:p>
    <w:p w14:paraId="6E8828AE" w14:textId="77777777" w:rsidR="009A30BF" w:rsidRDefault="005A6F8A" w:rsidP="009A30BF">
      <w:pPr>
        <w:pBdr>
          <w:bottom w:val="single" w:sz="6" w:space="1" w:color="auto"/>
        </w:pBdr>
        <w:jc w:val="center"/>
        <w:rPr>
          <w:b/>
        </w:rPr>
      </w:pPr>
      <w:r w:rsidRPr="00ED23BC">
        <w:rPr>
          <w:b/>
          <w:sz w:val="28"/>
        </w:rPr>
        <w:t>Collateral Estoppel – Principle of Law</w:t>
      </w:r>
    </w:p>
    <w:p w14:paraId="6B0BC934" w14:textId="77777777" w:rsidR="009A30BF" w:rsidRDefault="009A30BF" w:rsidP="009A30BF">
      <w:pPr>
        <w:pBdr>
          <w:bottom w:val="single" w:sz="6" w:space="1" w:color="auto"/>
        </w:pBdr>
        <w:rPr>
          <w:b/>
        </w:rPr>
      </w:pPr>
    </w:p>
    <w:p w14:paraId="19374EEA" w14:textId="3E32AE13" w:rsidR="00ED23BC" w:rsidRDefault="005A6F8A" w:rsidP="009A30BF">
      <w:pPr>
        <w:pBdr>
          <w:bottom w:val="single" w:sz="6" w:space="1" w:color="auto"/>
        </w:pBdr>
        <w:rPr>
          <w:b/>
        </w:rPr>
      </w:pPr>
      <w:r w:rsidRPr="00ED40AB">
        <w:rPr>
          <w:b/>
        </w:rPr>
        <w:t>A. History of Collateral Estoppel</w:t>
      </w:r>
    </w:p>
    <w:p w14:paraId="4FA200D5" w14:textId="77777777" w:rsidR="009A30BF" w:rsidRDefault="009A30BF" w:rsidP="009A30BF">
      <w:pPr>
        <w:pBdr>
          <w:bottom w:val="single" w:sz="6" w:space="1" w:color="auto"/>
        </w:pBdr>
      </w:pPr>
    </w:p>
    <w:p w14:paraId="6903B06E" w14:textId="20F57694" w:rsidR="009A30BF" w:rsidRDefault="00F40BC3" w:rsidP="00745273">
      <w:pPr>
        <w:pBdr>
          <w:bottom w:val="single" w:sz="6" w:space="1" w:color="auto"/>
        </w:pBdr>
        <w:ind w:firstLine="720"/>
        <w:jc w:val="both"/>
        <w:rPr>
          <w:b/>
        </w:rPr>
      </w:pPr>
      <w:r>
        <w:t>As p</w:t>
      </w:r>
      <w:r w:rsidR="009A30BF">
        <w:t>reviously discussed, the Double Jeopardy Clause prohibits a person from being put in jeopardy for the same offense</w:t>
      </w:r>
      <w:r w:rsidR="009A30BF">
        <w:rPr>
          <w:vertAlign w:val="superscript"/>
        </w:rPr>
        <w:t>89</w:t>
      </w:r>
      <w:r w:rsidR="009A30BF">
        <w:t xml:space="preserve"> twice.</w:t>
      </w:r>
      <w:r w:rsidR="009A30BF">
        <w:rPr>
          <w:vertAlign w:val="superscript"/>
        </w:rPr>
        <w:t xml:space="preserve"> </w:t>
      </w:r>
      <w:r w:rsidR="009A30BF">
        <w:t xml:space="preserve"> Embedded in the Double Jeopardy Clause is the Doctrine of Collateral Estoppel, that prohibits an issue of ultimate fact to be </w:t>
      </w:r>
      <w:proofErr w:type="spellStart"/>
      <w:r w:rsidR="009A30BF">
        <w:t>relitigated</w:t>
      </w:r>
      <w:proofErr w:type="spellEnd"/>
      <w:r w:rsidR="009A30BF">
        <w:t xml:space="preserve"> between two parties once the fact has been previously decided by a jury, resulting in a final judgment.</w:t>
      </w:r>
      <w:r w:rsidR="009A30BF">
        <w:rPr>
          <w:vertAlign w:val="superscript"/>
        </w:rPr>
        <w:t>90</w:t>
      </w:r>
      <w:r w:rsidR="009A30BF">
        <w:t xml:space="preserve">  The doctrine provides that if the second prosecution involves the same parties as the first prosecution</w:t>
      </w:r>
      <w:r>
        <w:t>,</w:t>
      </w:r>
      <w:r w:rsidR="009A30BF">
        <w:t xml:space="preserve"> </w:t>
      </w:r>
      <w:r w:rsidR="00264B55">
        <w:t>both parties</w:t>
      </w:r>
      <w:r w:rsidR="009A30BF">
        <w:t xml:space="preserve"> had a full opportunity to litigate the issue of fact, and the fact was previously decided in the first prosecution</w:t>
      </w:r>
      <w:r w:rsidR="00264B55">
        <w:t xml:space="preserve"> with </w:t>
      </w:r>
      <w:r w:rsidR="009A30BF">
        <w:t xml:space="preserve">a final judgment, then the issue of fact is barred from being </w:t>
      </w:r>
      <w:proofErr w:type="spellStart"/>
      <w:r w:rsidR="009A30BF">
        <w:t>relitigated</w:t>
      </w:r>
      <w:proofErr w:type="spellEnd"/>
      <w:r w:rsidR="009A30BF">
        <w:t xml:space="preserve"> to ensure justice.</w:t>
      </w:r>
      <w:r w:rsidR="009A30BF">
        <w:rPr>
          <w:vertAlign w:val="superscript"/>
        </w:rPr>
        <w:t>91</w:t>
      </w:r>
      <w:r w:rsidR="009A30BF">
        <w:t xml:space="preserve">  The general purpose of collateral estoppel is to “protect a man who has been acquitted from having to ‘run the gauntlet’ a second time.”</w:t>
      </w:r>
      <w:r w:rsidR="009A30BF" w:rsidRPr="00A34591">
        <w:rPr>
          <w:vertAlign w:val="superscript"/>
        </w:rPr>
        <w:t xml:space="preserve"> </w:t>
      </w:r>
      <w:r w:rsidR="009A30BF">
        <w:rPr>
          <w:vertAlign w:val="superscript"/>
        </w:rPr>
        <w:t>92</w:t>
      </w:r>
      <w:r w:rsidR="009A30BF">
        <w:rPr>
          <w:b/>
        </w:rPr>
        <w:t xml:space="preserve">  </w:t>
      </w:r>
      <w:r w:rsidR="002A2303">
        <w:t xml:space="preserve">In other words, if a person has already been found </w:t>
      </w:r>
      <w:r w:rsidR="00745273">
        <w:t>innocent guilty</w:t>
      </w:r>
      <w:r w:rsidR="002A2303">
        <w:t xml:space="preserve">, or an issue of ultimate fact has been decided in an acquittal verdict, then </w:t>
      </w:r>
      <w:r w:rsidR="00745273">
        <w:t>they</w:t>
      </w:r>
      <w:r w:rsidR="002A2303">
        <w:t xml:space="preserve"> </w:t>
      </w:r>
      <w:r w:rsidR="00745273">
        <w:t>can</w:t>
      </w:r>
      <w:r w:rsidR="002A2303">
        <w:t xml:space="preserve"> not be prosecuted for that same crime again.</w:t>
      </w:r>
      <w:r w:rsidR="002A2303">
        <w:rPr>
          <w:vertAlign w:val="superscript"/>
        </w:rPr>
        <w:t>93</w:t>
      </w:r>
    </w:p>
    <w:p w14:paraId="4641F67D" w14:textId="77777777" w:rsidR="00043EAA" w:rsidRDefault="00F10431" w:rsidP="00745273">
      <w:pPr>
        <w:pBdr>
          <w:bottom w:val="single" w:sz="6" w:space="1" w:color="auto"/>
        </w:pBdr>
        <w:ind w:firstLine="720"/>
        <w:jc w:val="both"/>
      </w:pPr>
      <w:r>
        <w:t xml:space="preserve">Some courts use the “same evidence test” to determine if the second indictment is barred by collateral estoppel.  </w:t>
      </w:r>
      <w:r w:rsidR="00AC1131">
        <w:t>The “same evidence test” has been used as early as 1796 and claims that an acquittal of the first indictment only bars a second indictment if the evidence used the second time would have convicted the offender the first time.</w:t>
      </w:r>
      <w:r w:rsidR="00E55E63">
        <w:rPr>
          <w:vertAlign w:val="superscript"/>
        </w:rPr>
        <w:t>94</w:t>
      </w:r>
      <w:r w:rsidR="009F5C6B">
        <w:t xml:space="preserve"> </w:t>
      </w:r>
      <w:r w:rsidR="00260696">
        <w:t xml:space="preserve"> </w:t>
      </w:r>
      <w:r w:rsidR="00181F2C">
        <w:t xml:space="preserve"> </w:t>
      </w:r>
      <w:r w:rsidR="00260696">
        <w:t>In other words, if an individual would have been convicted in the first indictment by the same evidence and facts that were used in the second indictment, then an acquittal on the first would not bar the second</w:t>
      </w:r>
      <w:r w:rsidR="000A0032">
        <w:t xml:space="preserve">, permitting one divisible crime </w:t>
      </w:r>
      <w:r w:rsidR="004B3B64">
        <w:t xml:space="preserve">to be separated into individual </w:t>
      </w:r>
      <w:r w:rsidR="000A0032">
        <w:t>prosecutions</w:t>
      </w:r>
      <w:r w:rsidR="004B3B64">
        <w:t>.</w:t>
      </w:r>
      <w:r w:rsidR="00E55E63" w:rsidRPr="00E55E63">
        <w:rPr>
          <w:vertAlign w:val="superscript"/>
        </w:rPr>
        <w:t xml:space="preserve"> </w:t>
      </w:r>
      <w:r w:rsidR="00E55E63">
        <w:rPr>
          <w:vertAlign w:val="superscript"/>
        </w:rPr>
        <w:t>95</w:t>
      </w:r>
      <w:r w:rsidR="00260696">
        <w:t xml:space="preserve">  </w:t>
      </w:r>
    </w:p>
    <w:p w14:paraId="567427CB" w14:textId="6B99EE60" w:rsidR="009A30BF" w:rsidRDefault="003B367F" w:rsidP="00745273">
      <w:pPr>
        <w:pBdr>
          <w:bottom w:val="single" w:sz="6" w:space="1" w:color="auto"/>
        </w:pBdr>
        <w:ind w:firstLine="720"/>
        <w:jc w:val="both"/>
        <w:rPr>
          <w:b/>
        </w:rPr>
      </w:pPr>
      <w:r>
        <w:t xml:space="preserve">For example, </w:t>
      </w:r>
      <w:r>
        <w:rPr>
          <w:i/>
        </w:rPr>
        <w:t>Hoag</w:t>
      </w:r>
      <w:r w:rsidR="00E55E63">
        <w:rPr>
          <w:i/>
        </w:rPr>
        <w:t xml:space="preserve"> v. State of N.J.</w:t>
      </w:r>
      <w:r>
        <w:t xml:space="preserve"> held that one could be tried and convicted for the same offense against a victim, following a previous acquittal to another victim on the same charge and arising from the same event, as long as the evidence w</w:t>
      </w:r>
      <w:r w:rsidR="00E55E63">
        <w:t>as different</w:t>
      </w:r>
      <w:r>
        <w:t>.</w:t>
      </w:r>
      <w:r w:rsidR="00E55E63">
        <w:rPr>
          <w:vertAlign w:val="superscript"/>
        </w:rPr>
        <w:t>96</w:t>
      </w:r>
      <w:r>
        <w:t xml:space="preserve"> </w:t>
      </w:r>
      <w:r w:rsidR="00E55E63">
        <w:t xml:space="preserve"> </w:t>
      </w:r>
      <w:r>
        <w:t xml:space="preserve">Hoag was convicted of robbing </w:t>
      </w:r>
      <w:proofErr w:type="spellStart"/>
      <w:r>
        <w:t>Yager</w:t>
      </w:r>
      <w:proofErr w:type="spellEnd"/>
      <w:r>
        <w:t xml:space="preserve">, after </w:t>
      </w:r>
      <w:r w:rsidR="00745273">
        <w:t>being</w:t>
      </w:r>
      <w:r>
        <w:t xml:space="preserve"> acquitted </w:t>
      </w:r>
      <w:r w:rsidR="00745273">
        <w:t>of</w:t>
      </w:r>
      <w:r>
        <w:t xml:space="preserve"> robbery charges of </w:t>
      </w:r>
      <w:proofErr w:type="spellStart"/>
      <w:r>
        <w:t>Cascio</w:t>
      </w:r>
      <w:proofErr w:type="spellEnd"/>
      <w:r>
        <w:t xml:space="preserve">, </w:t>
      </w:r>
      <w:proofErr w:type="spellStart"/>
      <w:r>
        <w:t>Capezzuto</w:t>
      </w:r>
      <w:proofErr w:type="spellEnd"/>
      <w:r>
        <w:t xml:space="preserve">, and </w:t>
      </w:r>
      <w:proofErr w:type="spellStart"/>
      <w:r>
        <w:t>Galiardo</w:t>
      </w:r>
      <w:proofErr w:type="spellEnd"/>
      <w:r>
        <w:t>, thus, prosecuting him for robbery again based on the same event in w</w:t>
      </w:r>
      <w:r w:rsidR="00E55E63">
        <w:t xml:space="preserve">hich he was </w:t>
      </w:r>
      <w:r w:rsidR="00745273">
        <w:t>already</w:t>
      </w:r>
      <w:r w:rsidR="00E55E63">
        <w:t xml:space="preserve"> acquitted.</w:t>
      </w:r>
      <w:r w:rsidR="00E55E63" w:rsidRPr="00E55E63">
        <w:rPr>
          <w:vertAlign w:val="superscript"/>
        </w:rPr>
        <w:t xml:space="preserve"> </w:t>
      </w:r>
      <w:r w:rsidR="00E55E63">
        <w:rPr>
          <w:vertAlign w:val="superscript"/>
        </w:rPr>
        <w:t>97</w:t>
      </w:r>
      <w:r>
        <w:t xml:space="preserve"> </w:t>
      </w:r>
      <w:r w:rsidR="00E55E63">
        <w:t xml:space="preserve"> </w:t>
      </w:r>
      <w:r>
        <w:t xml:space="preserve">This was not considered double jeopardy because the New Jersey Rule </w:t>
      </w:r>
      <w:r w:rsidR="00745273">
        <w:t>states</w:t>
      </w:r>
      <w:r>
        <w:t xml:space="preserve"> that double jeopardy only applies when the “same evidence” used during the first indictment would be used </w:t>
      </w:r>
      <w:r w:rsidR="00745273">
        <w:t xml:space="preserve">again </w:t>
      </w:r>
      <w:r>
        <w:t>in the second indictment.</w:t>
      </w:r>
      <w:r w:rsidR="00E55E63" w:rsidRPr="00E55E63">
        <w:rPr>
          <w:vertAlign w:val="superscript"/>
        </w:rPr>
        <w:t xml:space="preserve"> </w:t>
      </w:r>
      <w:r w:rsidR="00E55E63">
        <w:rPr>
          <w:vertAlign w:val="superscript"/>
        </w:rPr>
        <w:t>98</w:t>
      </w:r>
      <w:r>
        <w:t xml:space="preserve"> </w:t>
      </w:r>
      <w:r w:rsidR="00E55E63">
        <w:t xml:space="preserve"> </w:t>
      </w:r>
      <w:r>
        <w:t xml:space="preserve">Trying the defendant a second </w:t>
      </w:r>
      <w:r w:rsidRPr="00296878">
        <w:t>time was not unreasonable or oppressive as to deprive him of due process so long as the evidence presented was different.</w:t>
      </w:r>
      <w:r w:rsidR="004A608A" w:rsidRPr="00296878">
        <w:rPr>
          <w:vertAlign w:val="superscript"/>
        </w:rPr>
        <w:t>99</w:t>
      </w:r>
      <w:r>
        <w:t xml:space="preserve"> </w:t>
      </w:r>
      <w:r w:rsidR="00745273">
        <w:t xml:space="preserve"> </w:t>
      </w:r>
      <w:r w:rsidR="007B11B5">
        <w:t xml:space="preserve">Since the jury found the state failed to prove the identity of the robber to be Hoag, the jury decided that </w:t>
      </w:r>
      <w:r>
        <w:t xml:space="preserve">Hoag was </w:t>
      </w:r>
      <w:r w:rsidR="007B11B5">
        <w:t>not</w:t>
      </w:r>
      <w:r>
        <w:t xml:space="preserve"> the robber in the first trial</w:t>
      </w:r>
      <w:r w:rsidR="007B11B5">
        <w:t xml:space="preserve">; therefore, </w:t>
      </w:r>
      <w:r>
        <w:t xml:space="preserve">collateral estoppel </w:t>
      </w:r>
      <w:r w:rsidR="007B11B5">
        <w:t>would</w:t>
      </w:r>
      <w:r w:rsidR="00745273">
        <w:t xml:space="preserve"> bar the</w:t>
      </w:r>
      <w:r>
        <w:t xml:space="preserve"> redetermination of </w:t>
      </w:r>
      <w:r w:rsidR="007B11B5">
        <w:t>the</w:t>
      </w:r>
      <w:r>
        <w:t xml:space="preserve"> essential fact that the jury already found in a previous trial.</w:t>
      </w:r>
      <w:r w:rsidR="004A608A">
        <w:rPr>
          <w:vertAlign w:val="superscript"/>
        </w:rPr>
        <w:t>100</w:t>
      </w:r>
      <w:r>
        <w:t xml:space="preserve"> </w:t>
      </w:r>
      <w:r w:rsidR="004A608A">
        <w:t xml:space="preserve">  </w:t>
      </w:r>
      <w:r>
        <w:t xml:space="preserve">However, the court believed that the jury did not necessarily believe Hoag’s alibi of not being present at the time of the robbery, but rather that the jury </w:t>
      </w:r>
      <w:r w:rsidRPr="003B367F">
        <w:rPr>
          <w:i/>
        </w:rPr>
        <w:t>could have</w:t>
      </w:r>
      <w:r>
        <w:t xml:space="preserve"> believed the prosecution failed to prove that Hoag was the robber beyond a reasonable doubt.</w:t>
      </w:r>
      <w:r w:rsidR="004A608A">
        <w:rPr>
          <w:vertAlign w:val="superscript"/>
        </w:rPr>
        <w:t>101</w:t>
      </w:r>
      <w:r>
        <w:t xml:space="preserve"> </w:t>
      </w:r>
      <w:r w:rsidR="004A608A">
        <w:t xml:space="preserve"> </w:t>
      </w:r>
      <w:r>
        <w:t>Thus, the New Jersey court allowed Hoag to be tried again after the witnesses failed to identify him earlier, which seems to create a “re-do” for the pr</w:t>
      </w:r>
      <w:r w:rsidR="004A608A">
        <w:t>osecutor’s witness preparation.</w:t>
      </w:r>
      <w:r w:rsidR="004A608A">
        <w:rPr>
          <w:vertAlign w:val="superscript"/>
        </w:rPr>
        <w:t>102</w:t>
      </w:r>
    </w:p>
    <w:p w14:paraId="0D26045A" w14:textId="490D3C8F" w:rsidR="009A30BF" w:rsidRDefault="003B367F" w:rsidP="00745273">
      <w:pPr>
        <w:pBdr>
          <w:bottom w:val="single" w:sz="6" w:space="1" w:color="auto"/>
        </w:pBdr>
        <w:ind w:firstLine="720"/>
        <w:jc w:val="both"/>
        <w:rPr>
          <w:b/>
        </w:rPr>
      </w:pPr>
      <w:r>
        <w:t xml:space="preserve">The “best evidence” </w:t>
      </w:r>
      <w:r w:rsidR="004B3B64">
        <w:t xml:space="preserve">test was eventually </w:t>
      </w:r>
      <w:r w:rsidR="000A0032">
        <w:t xml:space="preserve">replaced by the “same transaction test” </w:t>
      </w:r>
      <w:r w:rsidR="00043EAA">
        <w:t>which</w:t>
      </w:r>
      <w:r w:rsidR="000A0032">
        <w:t xml:space="preserve"> “encourages the joining of parties and charges” that arise from the same event or transaction into one trial</w:t>
      </w:r>
      <w:r w:rsidR="00813BC5">
        <w:t xml:space="preserve"> </w:t>
      </w:r>
      <w:r w:rsidR="00043EAA">
        <w:t xml:space="preserve">in an effort </w:t>
      </w:r>
      <w:r w:rsidR="00813BC5">
        <w:t>to avoid double jeopardy</w:t>
      </w:r>
      <w:r w:rsidR="00296878">
        <w:t>.</w:t>
      </w:r>
      <w:r w:rsidR="00296878">
        <w:rPr>
          <w:vertAlign w:val="superscript"/>
        </w:rPr>
        <w:t>103</w:t>
      </w:r>
      <w:r w:rsidR="000A0032">
        <w:t xml:space="preserve"> </w:t>
      </w:r>
      <w:r w:rsidR="0043449C">
        <w:t xml:space="preserve"> </w:t>
      </w:r>
      <w:r w:rsidR="00912279">
        <w:t>Recently other</w:t>
      </w:r>
      <w:r w:rsidR="0043449C">
        <w:t xml:space="preserve"> courts </w:t>
      </w:r>
      <w:r w:rsidR="00912279">
        <w:t>have</w:t>
      </w:r>
      <w:r w:rsidR="0043449C">
        <w:t xml:space="preserve"> use</w:t>
      </w:r>
      <w:r w:rsidR="00912279">
        <w:t>d</w:t>
      </w:r>
      <w:r w:rsidR="0043449C">
        <w:t xml:space="preserve"> other tests, such as the “same conduct” test, </w:t>
      </w:r>
      <w:r w:rsidR="00043EAA">
        <w:t>which</w:t>
      </w:r>
      <w:r w:rsidR="0043449C">
        <w:t xml:space="preserve"> determine</w:t>
      </w:r>
      <w:r w:rsidR="00043EAA">
        <w:t>s</w:t>
      </w:r>
      <w:r w:rsidR="0043449C">
        <w:t xml:space="preserve"> if the </w:t>
      </w:r>
      <w:proofErr w:type="spellStart"/>
      <w:r w:rsidR="0043449C">
        <w:t>relitigation</w:t>
      </w:r>
      <w:proofErr w:type="spellEnd"/>
      <w:r w:rsidR="0043449C">
        <w:t xml:space="preserve"> of one issue should be</w:t>
      </w:r>
      <w:r w:rsidR="00F178F8">
        <w:t xml:space="preserve"> precluded by a previous trial.</w:t>
      </w:r>
      <w:r w:rsidR="00296878">
        <w:rPr>
          <w:vertAlign w:val="superscript"/>
        </w:rPr>
        <w:t>104</w:t>
      </w:r>
      <w:r w:rsidR="00FC0C3E">
        <w:t xml:space="preserve"> </w:t>
      </w:r>
      <w:r w:rsidR="00F178F8">
        <w:t xml:space="preserve"> </w:t>
      </w:r>
    </w:p>
    <w:p w14:paraId="09591D0F" w14:textId="77777777" w:rsidR="009A30BF" w:rsidRDefault="00DB3B19" w:rsidP="00745273">
      <w:pPr>
        <w:pBdr>
          <w:bottom w:val="single" w:sz="6" w:space="1" w:color="auto"/>
        </w:pBdr>
        <w:ind w:firstLine="720"/>
        <w:jc w:val="both"/>
        <w:rPr>
          <w:b/>
        </w:rPr>
      </w:pPr>
      <w:r>
        <w:t xml:space="preserve">The general principle of collateral estoppel </w:t>
      </w:r>
      <w:r w:rsidR="008579C2">
        <w:t>is</w:t>
      </w:r>
      <w:r>
        <w:t xml:space="preserve"> to prohibit a person from being first </w:t>
      </w:r>
      <w:r w:rsidRPr="008579C2">
        <w:rPr>
          <w:i/>
        </w:rPr>
        <w:t>acquitted</w:t>
      </w:r>
      <w:r>
        <w:t xml:space="preserve"> of a crime and later being convicted of that same crime.</w:t>
      </w:r>
      <w:r w:rsidR="00C40A98">
        <w:rPr>
          <w:vertAlign w:val="superscript"/>
        </w:rPr>
        <w:t>105</w:t>
      </w:r>
      <w:r w:rsidR="00C40A98">
        <w:t xml:space="preserve"> </w:t>
      </w:r>
      <w:r w:rsidR="008579C2">
        <w:t xml:space="preserve"> However, collateral estoppel does not normally apply when a person has been </w:t>
      </w:r>
      <w:r w:rsidR="008579C2" w:rsidRPr="008579C2">
        <w:rPr>
          <w:i/>
        </w:rPr>
        <w:t>convicted</w:t>
      </w:r>
      <w:r w:rsidR="008579C2">
        <w:t xml:space="preserve"> of an offense and is retried for the same convicti</w:t>
      </w:r>
      <w:r w:rsidR="00C40A98">
        <w:t>on again due to court error.</w:t>
      </w:r>
      <w:r w:rsidR="00C40A98" w:rsidRPr="00C40A98">
        <w:rPr>
          <w:vertAlign w:val="superscript"/>
        </w:rPr>
        <w:t xml:space="preserve"> </w:t>
      </w:r>
      <w:r w:rsidR="00C40A98">
        <w:rPr>
          <w:vertAlign w:val="superscript"/>
        </w:rPr>
        <w:t>106</w:t>
      </w:r>
      <w:r w:rsidR="00C40A98">
        <w:t xml:space="preserve"> </w:t>
      </w:r>
      <w:r w:rsidR="008579C2">
        <w:t xml:space="preserve"> Inconsistent verdicts related to the effects of collateral estoppel have been the root of discussion in court rooms for many years and decides the outcome of the case at hand. </w:t>
      </w:r>
    </w:p>
    <w:p w14:paraId="08404BE8" w14:textId="301C6FA9" w:rsidR="009A30BF" w:rsidRDefault="00FA6E4C" w:rsidP="00745273">
      <w:pPr>
        <w:pBdr>
          <w:bottom w:val="single" w:sz="6" w:space="1" w:color="auto"/>
        </w:pBdr>
        <w:ind w:firstLine="720"/>
        <w:jc w:val="both"/>
        <w:rPr>
          <w:b/>
        </w:rPr>
      </w:pPr>
      <w:r>
        <w:t xml:space="preserve">The two most defining cases that determine the laws regarding collateral estoppel are </w:t>
      </w:r>
      <w:r>
        <w:rPr>
          <w:i/>
        </w:rPr>
        <w:t>Ashe</w:t>
      </w:r>
      <w:r>
        <w:t xml:space="preserve"> and </w:t>
      </w:r>
      <w:r>
        <w:rPr>
          <w:i/>
        </w:rPr>
        <w:t>Yeager</w:t>
      </w:r>
      <w:r>
        <w:t>.</w:t>
      </w:r>
      <w:r w:rsidRPr="0010631E">
        <w:rPr>
          <w:vertAlign w:val="superscript"/>
        </w:rPr>
        <w:t>10</w:t>
      </w:r>
      <w:r w:rsidR="00C40A98">
        <w:rPr>
          <w:vertAlign w:val="superscript"/>
        </w:rPr>
        <w:t>7</w:t>
      </w:r>
      <w:r>
        <w:t xml:space="preserve"> In </w:t>
      </w:r>
      <w:r>
        <w:rPr>
          <w:i/>
        </w:rPr>
        <w:t>Ashe v. Swenson</w:t>
      </w:r>
      <w:r>
        <w:t xml:space="preserve">, the </w:t>
      </w:r>
      <w:r w:rsidR="007A79EB">
        <w:t xml:space="preserve">United States </w:t>
      </w:r>
      <w:r>
        <w:t xml:space="preserve">Supreme Court gave district courts discretion to allow, or bar, </w:t>
      </w:r>
      <w:proofErr w:type="spellStart"/>
      <w:r>
        <w:t>relitigation</w:t>
      </w:r>
      <w:proofErr w:type="spellEnd"/>
      <w:r>
        <w:t xml:space="preserve"> based on their opinion of how the jury determined their decision of fact.</w:t>
      </w:r>
      <w:r w:rsidR="00043EAA" w:rsidRPr="0010631E">
        <w:rPr>
          <w:vertAlign w:val="superscript"/>
        </w:rPr>
        <w:t>10</w:t>
      </w:r>
      <w:r w:rsidR="00043EAA">
        <w:rPr>
          <w:vertAlign w:val="superscript"/>
        </w:rPr>
        <w:t>8</w:t>
      </w:r>
      <w:r w:rsidR="00043EAA">
        <w:t xml:space="preserve"> </w:t>
      </w:r>
      <w:r>
        <w:t xml:space="preserve"> </w:t>
      </w:r>
      <w:r w:rsidRPr="00AC5941">
        <w:rPr>
          <w:i/>
        </w:rPr>
        <w:t>Ashe</w:t>
      </w:r>
      <w:r>
        <w:t xml:space="preserve"> </w:t>
      </w:r>
      <w:r w:rsidR="00043EAA">
        <w:t xml:space="preserve">also </w:t>
      </w:r>
      <w:r>
        <w:t xml:space="preserve">set the standard burden of proof of collateral estoppel on whoever desires to exercise the rights has the burden of proving the fact was </w:t>
      </w:r>
      <w:r w:rsidR="00043EAA">
        <w:t xml:space="preserve">previously determined in full; </w:t>
      </w:r>
      <w:proofErr w:type="spellStart"/>
      <w:r w:rsidR="00043EAA">
        <w:t>Furthremore</w:t>
      </w:r>
      <w:proofErr w:type="spellEnd"/>
      <w:r w:rsidR="00043EAA">
        <w:t xml:space="preserve">, </w:t>
      </w:r>
      <w:r w:rsidR="002D3A12">
        <w:t>collateral estoppel is rarely granted because the</w:t>
      </w:r>
      <w:r w:rsidR="0065568C">
        <w:t xml:space="preserve"> burden </w:t>
      </w:r>
      <w:r w:rsidR="002D3A12">
        <w:t xml:space="preserve">of proving what exactly the jury decided is </w:t>
      </w:r>
      <w:r w:rsidR="00577924">
        <w:t xml:space="preserve">a </w:t>
      </w:r>
      <w:r w:rsidR="00043EAA">
        <w:t xml:space="preserve">noted as a </w:t>
      </w:r>
      <w:r w:rsidR="002D3A12">
        <w:t>difficult</w:t>
      </w:r>
      <w:r w:rsidR="00577924">
        <w:t xml:space="preserve"> burden</w:t>
      </w:r>
      <w:r w:rsidR="002D3A12">
        <w:t>.</w:t>
      </w:r>
      <w:r w:rsidR="002D3A12" w:rsidRPr="002D3A12">
        <w:rPr>
          <w:vertAlign w:val="superscript"/>
        </w:rPr>
        <w:t>10</w:t>
      </w:r>
      <w:r w:rsidR="00C40A98">
        <w:rPr>
          <w:vertAlign w:val="superscript"/>
        </w:rPr>
        <w:t>9</w:t>
      </w:r>
    </w:p>
    <w:p w14:paraId="4932A5E4" w14:textId="77777777" w:rsidR="009A30BF" w:rsidRDefault="00FA6E4C" w:rsidP="00745273">
      <w:pPr>
        <w:pBdr>
          <w:bottom w:val="single" w:sz="6" w:space="1" w:color="auto"/>
        </w:pBdr>
        <w:ind w:firstLine="720"/>
        <w:jc w:val="both"/>
        <w:rPr>
          <w:b/>
        </w:rPr>
      </w:pPr>
      <w:r>
        <w:t>In Ashe, six men were robbed during a poker game. Ashe was one of the suspect robbers who was charged with seven separate offenses; six robbery offenses and one theft offense for a car to leave the scene.</w:t>
      </w:r>
      <w:r w:rsidR="00C40A98">
        <w:rPr>
          <w:vertAlign w:val="superscript"/>
        </w:rPr>
        <w:t>110</w:t>
      </w:r>
      <w:r>
        <w:t xml:space="preserve"> </w:t>
      </w:r>
      <w:r w:rsidR="00C40A98">
        <w:t xml:space="preserve"> </w:t>
      </w:r>
      <w:r>
        <w:t>Ashe was then tried for robbing one of the victims, Knight. After trial, a jury acquitted him of the robbery charge due to insufficient evidence.</w:t>
      </w:r>
      <w:r w:rsidR="00C40A98" w:rsidRPr="00C40A98">
        <w:rPr>
          <w:vertAlign w:val="superscript"/>
        </w:rPr>
        <w:t xml:space="preserve"> </w:t>
      </w:r>
      <w:r w:rsidR="00C40A98">
        <w:rPr>
          <w:vertAlign w:val="superscript"/>
        </w:rPr>
        <w:t>111</w:t>
      </w:r>
      <w:r>
        <w:t xml:space="preserve">  Ashe was then retried for robbing another victim of the same crime, Roberts.</w:t>
      </w:r>
      <w:r w:rsidR="00C40A98">
        <w:rPr>
          <w:vertAlign w:val="superscript"/>
        </w:rPr>
        <w:t>112</w:t>
      </w:r>
      <w:r w:rsidR="00C40A98">
        <w:t xml:space="preserve"> </w:t>
      </w:r>
      <w:r>
        <w:t xml:space="preserve"> During the second trial the same two witnesses testified, but with stronger testimonies regarding Ashe’s identity.</w:t>
      </w:r>
      <w:r w:rsidR="00C40A98">
        <w:rPr>
          <w:vertAlign w:val="superscript"/>
        </w:rPr>
        <w:t>113</w:t>
      </w:r>
      <w:r>
        <w:t xml:space="preserve">  These testimonies allowed the jury to convict Ashe for robbery during the second trial.</w:t>
      </w:r>
      <w:r w:rsidR="00C40A98">
        <w:rPr>
          <w:vertAlign w:val="superscript"/>
        </w:rPr>
        <w:t>114</w:t>
      </w:r>
      <w:r w:rsidR="00C40A98">
        <w:t xml:space="preserve"> </w:t>
      </w:r>
      <w:r>
        <w:t xml:space="preserve"> Ashe appealed claiming the second trial should have been precluded due to the collateral estoppel prong of double jeopardy.</w:t>
      </w:r>
      <w:r w:rsidR="00C40A98">
        <w:rPr>
          <w:vertAlign w:val="superscript"/>
        </w:rPr>
        <w:t>115</w:t>
      </w:r>
      <w:r w:rsidR="00C40A98">
        <w:t xml:space="preserve"> </w:t>
      </w:r>
      <w:r>
        <w:t xml:space="preserve"> </w:t>
      </w:r>
    </w:p>
    <w:p w14:paraId="14C4A677" w14:textId="0A3C9605" w:rsidR="009A30BF" w:rsidRDefault="00FA6E4C" w:rsidP="00745273">
      <w:pPr>
        <w:pBdr>
          <w:bottom w:val="single" w:sz="6" w:space="1" w:color="auto"/>
        </w:pBdr>
        <w:ind w:firstLine="720"/>
        <w:jc w:val="both"/>
        <w:rPr>
          <w:b/>
        </w:rPr>
      </w:pPr>
      <w:r>
        <w:t xml:space="preserve">The court then set out an approach to determine if a rational jury founded its decision on the same issue in both verdicts to </w:t>
      </w:r>
      <w:r w:rsidR="004F4A7F">
        <w:t>decide</w:t>
      </w:r>
      <w:r>
        <w:t xml:space="preserve"> if collateral estoppel would </w:t>
      </w:r>
      <w:r w:rsidR="004F4A7F">
        <w:t>preclude</w:t>
      </w:r>
      <w:r>
        <w:t xml:space="preserve"> the second trial.</w:t>
      </w:r>
      <w:r w:rsidR="00C40A98">
        <w:rPr>
          <w:vertAlign w:val="superscript"/>
        </w:rPr>
        <w:t>116</w:t>
      </w:r>
      <w:r w:rsidR="00C40A98">
        <w:t xml:space="preserve"> </w:t>
      </w:r>
      <w:r>
        <w:t xml:space="preserve"> This approach was applied in a “practical frame” by examining the records of the prior proceedings, pleadings, evidence,</w:t>
      </w:r>
      <w:r w:rsidR="004F4A7F">
        <w:t xml:space="preserve"> and “other relevant matter” </w:t>
      </w:r>
      <w:r>
        <w:t xml:space="preserve">to account for all </w:t>
      </w:r>
      <w:r w:rsidR="004F4A7F">
        <w:t xml:space="preserve">of </w:t>
      </w:r>
      <w:r>
        <w:t>the circumstances of the proceedings.</w:t>
      </w:r>
      <w:r w:rsidR="00C40A98">
        <w:rPr>
          <w:vertAlign w:val="superscript"/>
        </w:rPr>
        <w:t>117</w:t>
      </w:r>
      <w:r w:rsidR="00C40A98">
        <w:t xml:space="preserve"> </w:t>
      </w:r>
      <w:r>
        <w:t xml:space="preserve"> Viewing the previous court’s proceedings and other matter, the </w:t>
      </w:r>
      <w:r w:rsidR="007A79EB">
        <w:t xml:space="preserve">United States </w:t>
      </w:r>
      <w:r>
        <w:t>Supreme Court ultimately decided that the first jury’s acquittal must have been founded on their determination of fact that Ashe was not present at the robbery, regardless of who the victim was.</w:t>
      </w:r>
      <w:r w:rsidR="00C40A98">
        <w:rPr>
          <w:vertAlign w:val="superscript"/>
        </w:rPr>
        <w:t>118</w:t>
      </w:r>
      <w:r w:rsidR="00C40A98">
        <w:t xml:space="preserve"> </w:t>
      </w:r>
      <w:r>
        <w:t xml:space="preserve"> They further stated, as a general rule, that once an ultimate fact has been decided in a case, through a final judgment, that issue can not be tried again by the same parties in the future.</w:t>
      </w:r>
      <w:r w:rsidR="00C40A98">
        <w:rPr>
          <w:vertAlign w:val="superscript"/>
        </w:rPr>
        <w:t>119</w:t>
      </w:r>
      <w:r w:rsidR="0038633D">
        <w:t xml:space="preserve">  </w:t>
      </w:r>
      <w:r>
        <w:t xml:space="preserve"> Thus, a second prosecution of Ashe for robbery based upon the same event should have been precluded by collateral estoppel because his identity was previously determined to not be a robber in that crime and a second prosecution would allow for the retrial of that same issue that was previously decided.</w:t>
      </w:r>
      <w:r w:rsidR="00C40A98">
        <w:rPr>
          <w:vertAlign w:val="superscript"/>
        </w:rPr>
        <w:t>120</w:t>
      </w:r>
      <w:r w:rsidR="0038633D">
        <w:t xml:space="preserve"> </w:t>
      </w:r>
      <w:r>
        <w:t xml:space="preserve"> The court noted that during the second trial, the prosecution’s presentation of the evidence was refined to better suit his case, allowing for a re-do that was “precisely what the . . . [Do</w:t>
      </w:r>
      <w:r w:rsidR="00C40A98">
        <w:t>uble Jeopardy Clause] forbids.”</w:t>
      </w:r>
      <w:r w:rsidR="0038633D">
        <w:t xml:space="preserve"> </w:t>
      </w:r>
      <w:r w:rsidR="00C40A98">
        <w:rPr>
          <w:vertAlign w:val="superscript"/>
        </w:rPr>
        <w:t>121</w:t>
      </w:r>
    </w:p>
    <w:p w14:paraId="0735BD4F" w14:textId="2633E033" w:rsidR="009A30BF" w:rsidRDefault="000F0D30" w:rsidP="00745273">
      <w:pPr>
        <w:pBdr>
          <w:bottom w:val="single" w:sz="6" w:space="1" w:color="auto"/>
        </w:pBdr>
        <w:ind w:firstLine="720"/>
        <w:jc w:val="both"/>
        <w:rPr>
          <w:b/>
        </w:rPr>
      </w:pPr>
      <w:r>
        <w:t xml:space="preserve">As previously mentioned, there is a case that applies a limitation to the </w:t>
      </w:r>
      <w:r>
        <w:rPr>
          <w:i/>
        </w:rPr>
        <w:t>Ashe</w:t>
      </w:r>
      <w:r>
        <w:t xml:space="preserve"> rule. The </w:t>
      </w:r>
      <w:r w:rsidR="007A79EB">
        <w:t xml:space="preserve">United States </w:t>
      </w:r>
      <w:r>
        <w:t xml:space="preserve">Supreme Court in </w:t>
      </w:r>
      <w:r w:rsidRPr="000F0D30">
        <w:rPr>
          <w:i/>
        </w:rPr>
        <w:t>Powell</w:t>
      </w:r>
      <w:r>
        <w:t xml:space="preserve"> </w:t>
      </w:r>
      <w:r w:rsidRPr="000F0D30">
        <w:t>held</w:t>
      </w:r>
      <w:r>
        <w:t xml:space="preserve"> that if the jury returned inconsistent verdicts the rule of collateral estoppel does not apply.  </w:t>
      </w:r>
      <w:r w:rsidR="004F4A7F">
        <w:t>These inconsistent verdicts</w:t>
      </w:r>
      <w:r w:rsidR="00C60139">
        <w:t xml:space="preserve"> and </w:t>
      </w:r>
      <w:r w:rsidR="004F4A7F">
        <w:t>how different courts apply them</w:t>
      </w:r>
      <w:r>
        <w:t xml:space="preserve"> </w:t>
      </w:r>
      <w:r w:rsidR="00C60139">
        <w:t>are</w:t>
      </w:r>
      <w:r>
        <w:t xml:space="preserve"> discussed in further detail below.</w:t>
      </w:r>
      <w:r w:rsidR="00576B0B">
        <w:rPr>
          <w:vertAlign w:val="superscript"/>
        </w:rPr>
        <w:t>122</w:t>
      </w:r>
    </w:p>
    <w:p w14:paraId="6F3A0245" w14:textId="77777777" w:rsidR="009A30BF" w:rsidRDefault="009A30BF" w:rsidP="009A30BF">
      <w:pPr>
        <w:pBdr>
          <w:bottom w:val="single" w:sz="6" w:space="1" w:color="auto"/>
        </w:pBdr>
        <w:rPr>
          <w:b/>
        </w:rPr>
      </w:pPr>
    </w:p>
    <w:p w14:paraId="0BAD21FE" w14:textId="77777777" w:rsidR="009A30BF" w:rsidRDefault="009939BA" w:rsidP="009A30BF">
      <w:pPr>
        <w:pBdr>
          <w:bottom w:val="single" w:sz="6" w:space="1" w:color="auto"/>
        </w:pBdr>
        <w:rPr>
          <w:b/>
        </w:rPr>
      </w:pPr>
      <w:r w:rsidRPr="00ED40AB">
        <w:rPr>
          <w:b/>
        </w:rPr>
        <w:t xml:space="preserve">B. Collateral Estoppel </w:t>
      </w:r>
      <w:r w:rsidR="00623F9C">
        <w:rPr>
          <w:b/>
        </w:rPr>
        <w:t xml:space="preserve">in </w:t>
      </w:r>
      <w:r w:rsidRPr="00ED40AB">
        <w:rPr>
          <w:b/>
        </w:rPr>
        <w:t>Inc</w:t>
      </w:r>
      <w:r w:rsidR="00623F9C">
        <w:rPr>
          <w:b/>
        </w:rPr>
        <w:t>o</w:t>
      </w:r>
      <w:r w:rsidR="00860FC4">
        <w:rPr>
          <w:b/>
        </w:rPr>
        <w:t>nsistent Verdicts: Hung Counts, Acquittals, &amp; Convictions</w:t>
      </w:r>
    </w:p>
    <w:p w14:paraId="20BE7897" w14:textId="77777777" w:rsidR="009A30BF" w:rsidRDefault="009A30BF" w:rsidP="009A30BF">
      <w:pPr>
        <w:pBdr>
          <w:bottom w:val="single" w:sz="6" w:space="1" w:color="auto"/>
        </w:pBdr>
        <w:ind w:firstLine="720"/>
        <w:rPr>
          <w:b/>
        </w:rPr>
      </w:pPr>
    </w:p>
    <w:p w14:paraId="19664B13" w14:textId="70BFB751" w:rsidR="009A30BF" w:rsidRDefault="00976D21" w:rsidP="00745273">
      <w:pPr>
        <w:pBdr>
          <w:bottom w:val="single" w:sz="6" w:space="1" w:color="auto"/>
        </w:pBdr>
        <w:ind w:firstLine="720"/>
        <w:jc w:val="both"/>
        <w:rPr>
          <w:b/>
        </w:rPr>
      </w:pPr>
      <w:r>
        <w:t>One</w:t>
      </w:r>
      <w:r w:rsidR="00B90B1B">
        <w:t xml:space="preserve"> general rule concerning inconsistent verdicts and collateral estoppel is that an acquittal is not</w:t>
      </w:r>
      <w:r w:rsidR="00CD4B71">
        <w:t xml:space="preserve"> always</w:t>
      </w:r>
      <w:r w:rsidR="00B90B1B">
        <w:t xml:space="preserve"> a</w:t>
      </w:r>
      <w:r w:rsidR="00CD4B71">
        <w:t xml:space="preserve"> factual</w:t>
      </w:r>
      <w:r w:rsidR="00B90B1B">
        <w:t xml:space="preserve"> finding of innocence</w:t>
      </w:r>
      <w:r w:rsidR="00CD4B71">
        <w:t>, nor the prosecution’s failure of proving their case.</w:t>
      </w:r>
      <w:r w:rsidR="00FD3B53">
        <w:rPr>
          <w:vertAlign w:val="superscript"/>
        </w:rPr>
        <w:t>123</w:t>
      </w:r>
      <w:r>
        <w:t xml:space="preserve"> </w:t>
      </w:r>
      <w:r w:rsidR="00357A7C">
        <w:t xml:space="preserve"> </w:t>
      </w:r>
      <w:r>
        <w:t xml:space="preserve">In addition, </w:t>
      </w:r>
      <w:r w:rsidR="004F4A7F">
        <w:t xml:space="preserve">since consistency is not required, there is </w:t>
      </w:r>
      <w:r>
        <w:t>no ba</w:t>
      </w:r>
      <w:r w:rsidR="004F4A7F">
        <w:t>sis for criticism on a conviction</w:t>
      </w:r>
      <w:r>
        <w:t xml:space="preserve"> </w:t>
      </w:r>
      <w:r w:rsidR="004F4A7F">
        <w:t>solely because</w:t>
      </w:r>
      <w:r>
        <w:t xml:space="preserve"> there i</w:t>
      </w:r>
      <w:r w:rsidR="0025370D">
        <w:t xml:space="preserve">s inconsistency in the verdict. </w:t>
      </w:r>
      <w:r w:rsidR="00FD3B53">
        <w:rPr>
          <w:vertAlign w:val="superscript"/>
        </w:rPr>
        <w:t>124</w:t>
      </w:r>
      <w:r w:rsidR="00357A7C">
        <w:t xml:space="preserve">  In other words, a conviction accompanied by an acquittal will still allow for the conviction to be final and valid even though it mig</w:t>
      </w:r>
      <w:r w:rsidR="00FD3B53">
        <w:t>ht contradict the acquittal.</w:t>
      </w:r>
      <w:r w:rsidR="00FD3B53">
        <w:rPr>
          <w:vertAlign w:val="superscript"/>
        </w:rPr>
        <w:t>125</w:t>
      </w:r>
      <w:r w:rsidR="00357A7C">
        <w:t xml:space="preserve"> </w:t>
      </w:r>
      <w:r w:rsidR="00FD3B53">
        <w:t xml:space="preserve"> </w:t>
      </w:r>
      <w:r w:rsidR="00D76DC7">
        <w:t xml:space="preserve">There are many courts that hold different rulings based on distinctive reasons and are discussed in further detail below. </w:t>
      </w:r>
    </w:p>
    <w:p w14:paraId="2A2D9A6E" w14:textId="77777777" w:rsidR="009A30BF" w:rsidRDefault="009A30BF" w:rsidP="009A30BF">
      <w:pPr>
        <w:pBdr>
          <w:bottom w:val="single" w:sz="6" w:space="1" w:color="auto"/>
        </w:pBdr>
        <w:rPr>
          <w:b/>
        </w:rPr>
      </w:pPr>
    </w:p>
    <w:p w14:paraId="12C003B9" w14:textId="77777777" w:rsidR="009A30BF" w:rsidRDefault="00EA36F2" w:rsidP="009A30BF">
      <w:pPr>
        <w:pBdr>
          <w:bottom w:val="single" w:sz="6" w:space="1" w:color="auto"/>
        </w:pBdr>
        <w:rPr>
          <w:b/>
        </w:rPr>
      </w:pPr>
      <w:r w:rsidRPr="00ED23BC">
        <w:rPr>
          <w:b/>
        </w:rPr>
        <w:t>1. Majority</w:t>
      </w:r>
    </w:p>
    <w:p w14:paraId="30B243EE" w14:textId="77777777" w:rsidR="009A30BF" w:rsidRDefault="009A30BF" w:rsidP="009A30BF">
      <w:pPr>
        <w:pBdr>
          <w:bottom w:val="single" w:sz="6" w:space="1" w:color="auto"/>
        </w:pBdr>
        <w:ind w:firstLine="360"/>
        <w:rPr>
          <w:b/>
        </w:rPr>
      </w:pPr>
    </w:p>
    <w:p w14:paraId="00375342" w14:textId="649D17FF" w:rsidR="009A30BF" w:rsidRDefault="00860FC4" w:rsidP="00745273">
      <w:pPr>
        <w:pBdr>
          <w:bottom w:val="single" w:sz="6" w:space="1" w:color="auto"/>
        </w:pBdr>
        <w:ind w:firstLine="720"/>
        <w:jc w:val="both"/>
        <w:rPr>
          <w:b/>
        </w:rPr>
      </w:pPr>
      <w:r>
        <w:t xml:space="preserve">Many courts believe that a conviction is usually upheld regardless of any inconsistent accompanying charges. For example, in </w:t>
      </w:r>
      <w:r w:rsidR="00D02472">
        <w:rPr>
          <w:i/>
        </w:rPr>
        <w:t xml:space="preserve">United States v. </w:t>
      </w:r>
      <w:r>
        <w:rPr>
          <w:i/>
        </w:rPr>
        <w:t>Citron</w:t>
      </w:r>
      <w:r w:rsidR="004F4A7F">
        <w:t>,</w:t>
      </w:r>
      <w:r>
        <w:t xml:space="preserve"> the defendant was indicted on nine counts of tax violations for three consecutive years.</w:t>
      </w:r>
      <w:r w:rsidR="004E1699">
        <w:rPr>
          <w:vertAlign w:val="superscript"/>
        </w:rPr>
        <w:t>126</w:t>
      </w:r>
      <w:r>
        <w:t xml:space="preserve">  He was ultimately convicted </w:t>
      </w:r>
      <w:r w:rsidR="004F4A7F">
        <w:t xml:space="preserve">of </w:t>
      </w:r>
      <w:r>
        <w:t>tax evasion for the second year, acquitted for all other counts except a conviction for false tax returns for the first and third years, which were later vacated and dismissed due to improper charts bein</w:t>
      </w:r>
      <w:r w:rsidR="00166C6E">
        <w:t>g admitted into evidence.</w:t>
      </w:r>
      <w:r w:rsidR="00166C6E">
        <w:rPr>
          <w:vertAlign w:val="superscript"/>
        </w:rPr>
        <w:t>127</w:t>
      </w:r>
      <w:r>
        <w:t xml:space="preserve"> On appeal, the court vacated the tax evasion conviction due to a mistrial and</w:t>
      </w:r>
      <w:r w:rsidR="00166C6E">
        <w:t xml:space="preserve"> remanded it for a retrial.</w:t>
      </w:r>
      <w:r w:rsidR="00166C6E">
        <w:rPr>
          <w:vertAlign w:val="superscript"/>
        </w:rPr>
        <w:t>128</w:t>
      </w:r>
      <w:r>
        <w:t xml:space="preserve"> As a result, the defendant claimed the government </w:t>
      </w:r>
      <w:r w:rsidR="00166C6E">
        <w:t>could not retry him on that count due to collateral estoppel and t</w:t>
      </w:r>
      <w:r>
        <w:t>h</w:t>
      </w:r>
      <w:r w:rsidR="00166C6E">
        <w:t>e district court granted the issue preclusion in his favor by allowing</w:t>
      </w:r>
      <w:r>
        <w:t xml:space="preserve"> a r</w:t>
      </w:r>
      <w:r w:rsidR="004F4A7F">
        <w:t xml:space="preserve">etrial, but </w:t>
      </w:r>
      <w:r>
        <w:t>only if certa</w:t>
      </w:r>
      <w:r w:rsidR="00166C6E">
        <w:t>in evidence was excluded.</w:t>
      </w:r>
      <w:r w:rsidR="00166C6E">
        <w:rPr>
          <w:vertAlign w:val="superscript"/>
        </w:rPr>
        <w:t>129</w:t>
      </w:r>
      <w:r w:rsidR="00166C6E">
        <w:rPr>
          <w:i/>
        </w:rPr>
        <w:t xml:space="preserve"> </w:t>
      </w:r>
      <w:r>
        <w:t xml:space="preserve"> The appellate court then ruled that the suppression of evidence was improper and that the issue of whether the defendant committed tax evasion was not necessarily determined by the previous trial, therefore collateral estoppel was also improper.</w:t>
      </w:r>
      <w:r w:rsidR="002C7803">
        <w:rPr>
          <w:vertAlign w:val="superscript"/>
        </w:rPr>
        <w:t>130</w:t>
      </w:r>
      <w:r>
        <w:t xml:space="preserve">  Furthermore, the court held that even though the defendant’s convictions were vacated on appeal, they are still considered in the issue preclusion analysis to determine if collateral estoppel is proper because “collateral estoppel depends on the jury’s assessment of the facts in light of the charges as [they are] presented at trial.”</w:t>
      </w:r>
      <w:r w:rsidR="005C3540" w:rsidRPr="005C3540">
        <w:rPr>
          <w:vertAlign w:val="superscript"/>
        </w:rPr>
        <w:t xml:space="preserve"> </w:t>
      </w:r>
      <w:r w:rsidR="005C3540">
        <w:rPr>
          <w:vertAlign w:val="superscript"/>
        </w:rPr>
        <w:t>131</w:t>
      </w:r>
      <w:r>
        <w:t xml:space="preserve"> </w:t>
      </w:r>
    </w:p>
    <w:p w14:paraId="1986B5E3" w14:textId="3E5A4343" w:rsidR="00745273" w:rsidRDefault="00860FC4" w:rsidP="00745273">
      <w:pPr>
        <w:pBdr>
          <w:bottom w:val="single" w:sz="6" w:space="1" w:color="auto"/>
        </w:pBdr>
        <w:ind w:firstLine="720"/>
        <w:jc w:val="both"/>
        <w:rPr>
          <w:b/>
        </w:rPr>
      </w:pPr>
      <w:r w:rsidRPr="00F12367">
        <w:t>In regards to hung counts, s</w:t>
      </w:r>
      <w:r w:rsidR="009939BA" w:rsidRPr="00F12367">
        <w:t>ome courts have held that an inconsistent verdict does not preclude collateral estoppel effects, while</w:t>
      </w:r>
      <w:r w:rsidR="009939BA">
        <w:t xml:space="preserve"> other courts have held </w:t>
      </w:r>
      <w:r w:rsidR="004F4A7F">
        <w:t xml:space="preserve">that </w:t>
      </w:r>
      <w:r w:rsidR="009939BA">
        <w:t>they do.</w:t>
      </w:r>
      <w:r w:rsidR="002A2265">
        <w:rPr>
          <w:vertAlign w:val="superscript"/>
        </w:rPr>
        <w:t>1</w:t>
      </w:r>
      <w:r w:rsidR="00F12367">
        <w:rPr>
          <w:vertAlign w:val="superscript"/>
        </w:rPr>
        <w:t>32</w:t>
      </w:r>
      <w:r w:rsidR="009939BA">
        <w:t xml:space="preserve">  </w:t>
      </w:r>
      <w:r w:rsidR="00FA6E4C">
        <w:t>The</w:t>
      </w:r>
      <w:r w:rsidR="007A79EB">
        <w:t xml:space="preserve"> United States</w:t>
      </w:r>
      <w:r w:rsidR="00FA6E4C">
        <w:t xml:space="preserve"> </w:t>
      </w:r>
      <w:r w:rsidR="009542F4">
        <w:t>Supreme C</w:t>
      </w:r>
      <w:r w:rsidR="00FA6E4C">
        <w:t xml:space="preserve">ourt in </w:t>
      </w:r>
      <w:r w:rsidR="00FA6E4C">
        <w:rPr>
          <w:i/>
        </w:rPr>
        <w:t>Yeager v. United States</w:t>
      </w:r>
      <w:r w:rsidR="00FA6E4C">
        <w:t xml:space="preserve"> further </w:t>
      </w:r>
      <w:r w:rsidR="007A3EAA">
        <w:t xml:space="preserve">defined the holding in </w:t>
      </w:r>
      <w:r w:rsidR="007A3EAA">
        <w:rPr>
          <w:i/>
        </w:rPr>
        <w:t>Ashe</w:t>
      </w:r>
      <w:r w:rsidR="00011B4E">
        <w:t xml:space="preserve"> </w:t>
      </w:r>
      <w:r w:rsidR="00DA5478">
        <w:t xml:space="preserve">to state that </w:t>
      </w:r>
      <w:r w:rsidR="007A3EAA">
        <w:t xml:space="preserve">inconsistency </w:t>
      </w:r>
      <w:r w:rsidR="006401F6">
        <w:t>in a jury’s returned verdict</w:t>
      </w:r>
      <w:r w:rsidR="009939BA">
        <w:t xml:space="preserve"> involving a hung count</w:t>
      </w:r>
      <w:r w:rsidR="006401F6">
        <w:t xml:space="preserve"> does not preclude the collateral estoppel effects.</w:t>
      </w:r>
      <w:r w:rsidR="00F12367">
        <w:rPr>
          <w:vertAlign w:val="superscript"/>
        </w:rPr>
        <w:t>133</w:t>
      </w:r>
      <w:r w:rsidR="00B22F2A">
        <w:t xml:space="preserve">  </w:t>
      </w:r>
      <w:r w:rsidR="00D65188">
        <w:t xml:space="preserve">In </w:t>
      </w:r>
      <w:r w:rsidR="00D65188" w:rsidRPr="00011B4E">
        <w:rPr>
          <w:i/>
        </w:rPr>
        <w:t>Yeager</w:t>
      </w:r>
      <w:r w:rsidR="00D65188">
        <w:t xml:space="preserve">, the jury returned </w:t>
      </w:r>
      <w:r w:rsidR="006401F6">
        <w:t xml:space="preserve">an acquittal </w:t>
      </w:r>
      <w:r w:rsidR="00E25949">
        <w:t>on some count</w:t>
      </w:r>
      <w:r w:rsidR="00D65188">
        <w:t>s and a failure to return a verdict, also known as a hung count or deadlock, on other related counts.</w:t>
      </w:r>
      <w:r w:rsidR="00F12367">
        <w:rPr>
          <w:vertAlign w:val="superscript"/>
        </w:rPr>
        <w:t>134</w:t>
      </w:r>
      <w:r w:rsidR="00F12367">
        <w:t xml:space="preserve"> </w:t>
      </w:r>
      <w:r w:rsidR="00D65188">
        <w:t xml:space="preserve"> The court held that the acquittal could still provide issue preclusion, through collateral estoppel, if the same issue to be retried had already been dec</w:t>
      </w:r>
      <w:r w:rsidR="00F12367">
        <w:t>ided on the acquitted count.</w:t>
      </w:r>
      <w:r w:rsidR="00F12367">
        <w:rPr>
          <w:vertAlign w:val="superscript"/>
        </w:rPr>
        <w:t>135</w:t>
      </w:r>
      <w:r w:rsidR="00D65188">
        <w:t xml:space="preserve">  The court </w:t>
      </w:r>
      <w:r w:rsidR="00C259D5">
        <w:t>also</w:t>
      </w:r>
      <w:r w:rsidR="00D65188">
        <w:t xml:space="preserve"> commented that hung counts, even if declared as a mistrial, should not be included in Ashe’s issue preclusion analysis </w:t>
      </w:r>
      <w:r w:rsidR="00C259D5">
        <w:t>because the jury’s inability to determine a verdict is considered a “nonevent” and the court can only criticize the jury’s decisions, not their “failures to decide”.</w:t>
      </w:r>
      <w:r w:rsidR="00F12367">
        <w:rPr>
          <w:vertAlign w:val="superscript"/>
        </w:rPr>
        <w:t>136</w:t>
      </w:r>
      <w:r w:rsidR="00C259D5">
        <w:t xml:space="preserve">  Furthermore, the court held </w:t>
      </w:r>
      <w:r w:rsidR="00011B4E">
        <w:t xml:space="preserve">that </w:t>
      </w:r>
      <w:r w:rsidR="00C259D5">
        <w:t>even if a verdict is based on an “erroneous foundation”</w:t>
      </w:r>
      <w:r w:rsidR="00011B4E">
        <w:t>,</w:t>
      </w:r>
      <w:r w:rsidR="00C259D5">
        <w:t xml:space="preserve"> the verdict is considered final and should</w:t>
      </w:r>
      <w:r w:rsidR="002F1244">
        <w:t xml:space="preserve"> </w:t>
      </w:r>
      <w:r w:rsidR="00F12367">
        <w:t>not be refuted.</w:t>
      </w:r>
      <w:r w:rsidR="00F12367">
        <w:rPr>
          <w:vertAlign w:val="superscript"/>
        </w:rPr>
        <w:t>137</w:t>
      </w:r>
    </w:p>
    <w:p w14:paraId="266A7AB3" w14:textId="27D33A82" w:rsidR="00745273" w:rsidRDefault="00B80D36" w:rsidP="00745273">
      <w:pPr>
        <w:pBdr>
          <w:bottom w:val="single" w:sz="6" w:space="1" w:color="auto"/>
        </w:pBdr>
        <w:ind w:firstLine="720"/>
        <w:jc w:val="both"/>
        <w:rPr>
          <w:b/>
        </w:rPr>
      </w:pPr>
      <w:r>
        <w:t xml:space="preserve">Some courts, such as the Ninth and Sixth Circuits, have held a ruling similar to but distinctive from </w:t>
      </w:r>
      <w:r>
        <w:rPr>
          <w:i/>
        </w:rPr>
        <w:t>Yeager</w:t>
      </w:r>
      <w:r>
        <w:t xml:space="preserve">, such as </w:t>
      </w:r>
      <w:r>
        <w:rPr>
          <w:i/>
        </w:rPr>
        <w:t>United States v. Ohayon</w:t>
      </w:r>
      <w:r>
        <w:t>.</w:t>
      </w:r>
      <w:r>
        <w:rPr>
          <w:vertAlign w:val="superscript"/>
        </w:rPr>
        <w:t>138</w:t>
      </w:r>
      <w:r>
        <w:t xml:space="preserve">  </w:t>
      </w:r>
      <w:proofErr w:type="spellStart"/>
      <w:r w:rsidRPr="00493287">
        <w:rPr>
          <w:i/>
        </w:rPr>
        <w:t>Ohayon</w:t>
      </w:r>
      <w:proofErr w:type="spellEnd"/>
      <w:r>
        <w:t xml:space="preserve"> held, similar to </w:t>
      </w:r>
      <w:r>
        <w:rPr>
          <w:i/>
        </w:rPr>
        <w:t>Ashe</w:t>
      </w:r>
      <w:r>
        <w:t>, that a hung verdict accompanied by an acquittal in the first trial should allow for issue preclusion, regardless of the inconsistent verdict, if the same issue would be litigated in the second trial and the jury could not have previously</w:t>
      </w:r>
      <w:r w:rsidR="00011B4E">
        <w:t xml:space="preserve"> and</w:t>
      </w:r>
      <w:r>
        <w:t xml:space="preserve"> rationally based their verdict on any other issue.</w:t>
      </w:r>
      <w:r>
        <w:rPr>
          <w:vertAlign w:val="superscript"/>
        </w:rPr>
        <w:t xml:space="preserve">139 </w:t>
      </w:r>
      <w:r>
        <w:t xml:space="preserve">  </w:t>
      </w:r>
    </w:p>
    <w:p w14:paraId="404DEEDE" w14:textId="42BA2E17" w:rsidR="00745273" w:rsidRDefault="00B80D36" w:rsidP="00745273">
      <w:pPr>
        <w:pBdr>
          <w:bottom w:val="single" w:sz="6" w:space="1" w:color="auto"/>
        </w:pBdr>
        <w:ind w:firstLine="720"/>
        <w:jc w:val="both"/>
        <w:rPr>
          <w:vertAlign w:val="superscript"/>
        </w:rPr>
      </w:pPr>
      <w:r>
        <w:t xml:space="preserve">Similarly in Georgia, </w:t>
      </w:r>
      <w:r w:rsidRPr="00BE0EA3">
        <w:rPr>
          <w:i/>
        </w:rPr>
        <w:t>Harris v. State</w:t>
      </w:r>
      <w:r>
        <w:t xml:space="preserve"> held that it was indisputable that </w:t>
      </w:r>
      <w:r w:rsidR="00011B4E">
        <w:t>a defendant</w:t>
      </w:r>
      <w:r>
        <w:t xml:space="preserve"> could not have been guilty for the present charge as well because the defendant was just acquitted for a charge that was so closely related to present charge, </w:t>
      </w:r>
      <w:r w:rsidR="00011B4E">
        <w:t>therefore,</w:t>
      </w:r>
      <w:r>
        <w:t xml:space="preserve"> the issue of his guilt must have already been decided in his favor and he could not be charged twice due to the collateral estoppel doctrine.</w:t>
      </w:r>
      <w:r>
        <w:rPr>
          <w:vertAlign w:val="superscript"/>
        </w:rPr>
        <w:t>140</w:t>
      </w:r>
    </w:p>
    <w:p w14:paraId="6BEC8910" w14:textId="77777777" w:rsidR="00745273" w:rsidRDefault="00745273" w:rsidP="00745273">
      <w:pPr>
        <w:pBdr>
          <w:bottom w:val="single" w:sz="6" w:space="1" w:color="auto"/>
        </w:pBdr>
        <w:jc w:val="both"/>
        <w:rPr>
          <w:vertAlign w:val="superscript"/>
        </w:rPr>
      </w:pPr>
    </w:p>
    <w:p w14:paraId="49C936B0" w14:textId="77777777" w:rsidR="00745273" w:rsidRDefault="00745273" w:rsidP="00745273">
      <w:pPr>
        <w:pBdr>
          <w:bottom w:val="single" w:sz="6" w:space="1" w:color="auto"/>
        </w:pBdr>
        <w:jc w:val="both"/>
        <w:rPr>
          <w:vertAlign w:val="superscript"/>
        </w:rPr>
      </w:pPr>
      <w:r w:rsidRPr="00ED23BC">
        <w:rPr>
          <w:b/>
        </w:rPr>
        <w:t>2. Minority</w:t>
      </w:r>
    </w:p>
    <w:p w14:paraId="1171B6B1" w14:textId="77777777" w:rsidR="00745273" w:rsidRDefault="00745273" w:rsidP="00745273">
      <w:pPr>
        <w:pBdr>
          <w:bottom w:val="single" w:sz="6" w:space="1" w:color="auto"/>
        </w:pBdr>
        <w:ind w:firstLine="720"/>
        <w:jc w:val="both"/>
        <w:rPr>
          <w:vertAlign w:val="superscript"/>
        </w:rPr>
      </w:pPr>
    </w:p>
    <w:p w14:paraId="3B2CF777" w14:textId="670F4F74" w:rsidR="00745273" w:rsidRDefault="00745273" w:rsidP="00745273">
      <w:pPr>
        <w:pBdr>
          <w:bottom w:val="single" w:sz="6" w:space="1" w:color="auto"/>
        </w:pBdr>
        <w:ind w:firstLine="720"/>
        <w:jc w:val="both"/>
        <w:rPr>
          <w:vertAlign w:val="superscript"/>
        </w:rPr>
      </w:pPr>
      <w:r w:rsidRPr="00BA02DE">
        <w:t xml:space="preserve">On the other hand, other courts have held contrary to </w:t>
      </w:r>
      <w:r w:rsidRPr="00BA02DE">
        <w:rPr>
          <w:i/>
        </w:rPr>
        <w:t>Yeager</w:t>
      </w:r>
      <w:r w:rsidRPr="00BA02DE">
        <w:t xml:space="preserve"> and refu</w:t>
      </w:r>
      <w:r w:rsidR="00011B4E">
        <w:t>se</w:t>
      </w:r>
      <w:r w:rsidRPr="00BA02DE">
        <w:t xml:space="preserve"> to apply collateral estoppel and allow the retrial of hung charges when accompanied by acquittals solely because they believed if the jury acquit</w:t>
      </w:r>
      <w:r w:rsidR="00011B4E">
        <w:t>ted</w:t>
      </w:r>
      <w:r w:rsidRPr="00BA02DE">
        <w:t xml:space="preserve"> one charge and honestly believed he was not guilty then they would not have failed to reach a verdict on a closely related count.</w:t>
      </w:r>
      <w:r w:rsidRPr="00BA02DE">
        <w:rPr>
          <w:vertAlign w:val="superscript"/>
        </w:rPr>
        <w:t>141</w:t>
      </w:r>
      <w:r w:rsidRPr="00BA02DE">
        <w:t xml:space="preserve"> </w:t>
      </w:r>
      <w:r>
        <w:t xml:space="preserve"> </w:t>
      </w:r>
      <w:r w:rsidRPr="00BA02DE">
        <w:t xml:space="preserve">These include the First, Eighth, and </w:t>
      </w:r>
      <w:r w:rsidRPr="002F5722">
        <w:t>Fifth Circuits, who disagree with Yeager’s ruling and instead hold the contrary.</w:t>
      </w:r>
      <w:r w:rsidRPr="002F5722">
        <w:rPr>
          <w:vertAlign w:val="superscript"/>
        </w:rPr>
        <w:t>142</w:t>
      </w:r>
      <w:r w:rsidRPr="002F5722">
        <w:t xml:space="preserve">  For example, in </w:t>
      </w:r>
      <w:r w:rsidRPr="002F5722">
        <w:rPr>
          <w:i/>
        </w:rPr>
        <w:t>United States v. Howe</w:t>
      </w:r>
      <w:r w:rsidRPr="002F5722">
        <w:t>, the appellate court held that inconsistent verdicts, including both hung counts and acquittals, make the acquittals appear less final and make it “impossible” to decide, with certainty, what the jury determined in their verdict and thus the hung counts must bar issue preclusion and retrial of the hung</w:t>
      </w:r>
      <w:r>
        <w:t xml:space="preserve"> counts are permitted.</w:t>
      </w:r>
      <w:r>
        <w:rPr>
          <w:vertAlign w:val="superscript"/>
        </w:rPr>
        <w:t>143</w:t>
      </w:r>
      <w:r>
        <w:t xml:space="preserve">  </w:t>
      </w:r>
    </w:p>
    <w:p w14:paraId="288284E3" w14:textId="7B194B82" w:rsidR="00745273" w:rsidRDefault="00745273" w:rsidP="00745273">
      <w:pPr>
        <w:pBdr>
          <w:bottom w:val="single" w:sz="6" w:space="1" w:color="auto"/>
        </w:pBdr>
        <w:ind w:firstLine="720"/>
        <w:jc w:val="both"/>
        <w:rPr>
          <w:vertAlign w:val="superscript"/>
        </w:rPr>
      </w:pPr>
      <w:r>
        <w:t xml:space="preserve">Similarly, </w:t>
      </w:r>
      <w:r w:rsidRPr="002F1244">
        <w:rPr>
          <w:i/>
        </w:rPr>
        <w:t>Powell</w:t>
      </w:r>
      <w:r>
        <w:t xml:space="preserve"> partially rejects </w:t>
      </w:r>
      <w:r w:rsidRPr="00934368">
        <w:rPr>
          <w:i/>
        </w:rPr>
        <w:t>Ashe</w:t>
      </w:r>
      <w:r w:rsidR="00011B4E">
        <w:t>’s rule</w:t>
      </w:r>
      <w:r>
        <w:t xml:space="preserve"> that an acquittal could undermine a jury’s inconsistent conviction due to collateral estoppel, and instead</w:t>
      </w:r>
      <w:r w:rsidR="00011B4E">
        <w:t>, they</w:t>
      </w:r>
      <w:r>
        <w:t xml:space="preserve"> applied a limitation by holding that a valid verdict of a conviction must stand despite an inconsistent verdict.</w:t>
      </w:r>
      <w:r>
        <w:rPr>
          <w:vertAlign w:val="superscript"/>
        </w:rPr>
        <w:t>144</w:t>
      </w:r>
      <w:r>
        <w:t xml:space="preserve">   The United States Supreme Court held that collateral estoppel applies when an acquittal and a conviction are held in the same verdict for related counts because there is no way to determine precisely what issues the jury decided.</w:t>
      </w:r>
      <w:r>
        <w:rPr>
          <w:vertAlign w:val="superscript"/>
        </w:rPr>
        <w:t>145</w:t>
      </w:r>
      <w:r>
        <w:t xml:space="preserve">  In </w:t>
      </w:r>
      <w:r>
        <w:rPr>
          <w:i/>
        </w:rPr>
        <w:t>Powell</w:t>
      </w:r>
      <w:r>
        <w:t>, the defendant argued that the returned verdict of an acquittal and a conviction on related charges were so inconsistent that the jury could not have logically or rationally decide</w:t>
      </w:r>
      <w:r w:rsidR="00011B4E">
        <w:t>d that the defendant was guilty and</w:t>
      </w:r>
      <w:r>
        <w:t xml:space="preserve"> the guilty verdict must have been overturned.</w:t>
      </w:r>
      <w:r>
        <w:rPr>
          <w:vertAlign w:val="superscript"/>
        </w:rPr>
        <w:t>146</w:t>
      </w:r>
      <w:r>
        <w:t xml:space="preserve">  The court rules that, regardless of any insufficient evidence or collateral estoppel argument, the rule provided in </w:t>
      </w:r>
      <w:r>
        <w:rPr>
          <w:i/>
        </w:rPr>
        <w:t>Dunn</w:t>
      </w:r>
      <w:r>
        <w:t xml:space="preserve"> </w:t>
      </w:r>
      <w:r>
        <w:rPr>
          <w:i/>
        </w:rPr>
        <w:t>v. United States</w:t>
      </w:r>
      <w:r>
        <w:t>,</w:t>
      </w:r>
      <w:r>
        <w:rPr>
          <w:vertAlign w:val="superscript"/>
        </w:rPr>
        <w:t>147</w:t>
      </w:r>
      <w:r>
        <w:t xml:space="preserve"> must be </w:t>
      </w:r>
      <w:r w:rsidR="00011B4E">
        <w:t>upheld</w:t>
      </w:r>
      <w:r>
        <w:t xml:space="preserve"> in circumstances where collateral estoppel would apply.</w:t>
      </w:r>
      <w:r>
        <w:rPr>
          <w:vertAlign w:val="superscript"/>
        </w:rPr>
        <w:t>148</w:t>
      </w:r>
      <w:r>
        <w:t xml:space="preserve">  In other words, when collateral estoppel applies, through the Ashe inquiry, a conviction should not be overturned solely because there is an illogical acquittal accompanying it in an inconsistent verdict.</w:t>
      </w:r>
      <w:r>
        <w:rPr>
          <w:vertAlign w:val="superscript"/>
        </w:rPr>
        <w:t>149</w:t>
      </w:r>
      <w:r>
        <w:t xml:space="preserve">  Ultimately, Powell held that an acquittal lacks collateral estoppel effect when</w:t>
      </w:r>
      <w:r w:rsidR="00011B4E">
        <w:t xml:space="preserve"> it is</w:t>
      </w:r>
      <w:r>
        <w:t xml:space="preserve"> truly inconsistent with an accompanying conviction because the inconsistency could be the result of lenity and should not be reviewable.</w:t>
      </w:r>
      <w:r>
        <w:rPr>
          <w:vertAlign w:val="superscript"/>
        </w:rPr>
        <w:t>150</w:t>
      </w:r>
      <w:r>
        <w:t xml:space="preserve">  </w:t>
      </w:r>
    </w:p>
    <w:p w14:paraId="1163612A" w14:textId="77777777" w:rsidR="00745273" w:rsidRDefault="00745273" w:rsidP="00745273">
      <w:pPr>
        <w:pBdr>
          <w:bottom w:val="single" w:sz="6" w:space="1" w:color="auto"/>
        </w:pBdr>
        <w:jc w:val="both"/>
        <w:rPr>
          <w:vertAlign w:val="superscript"/>
        </w:rPr>
      </w:pPr>
    </w:p>
    <w:p w14:paraId="283383CA" w14:textId="77777777" w:rsidR="00745273" w:rsidRDefault="00745273" w:rsidP="00745273">
      <w:pPr>
        <w:pBdr>
          <w:bottom w:val="single" w:sz="6" w:space="1" w:color="auto"/>
        </w:pBdr>
        <w:jc w:val="both"/>
        <w:rPr>
          <w:vertAlign w:val="superscript"/>
        </w:rPr>
      </w:pPr>
      <w:r w:rsidRPr="00ED40AB">
        <w:rPr>
          <w:b/>
        </w:rPr>
        <w:t>C. Collateral Estoppel and The Standard of Proof</w:t>
      </w:r>
    </w:p>
    <w:p w14:paraId="31D684AB" w14:textId="77777777" w:rsidR="00745273" w:rsidRDefault="00745273" w:rsidP="00745273">
      <w:pPr>
        <w:pBdr>
          <w:bottom w:val="single" w:sz="6" w:space="1" w:color="auto"/>
        </w:pBdr>
        <w:jc w:val="both"/>
        <w:rPr>
          <w:vertAlign w:val="superscript"/>
        </w:rPr>
      </w:pPr>
    </w:p>
    <w:p w14:paraId="2BACE069" w14:textId="068B0651" w:rsidR="00745273" w:rsidRDefault="00745273" w:rsidP="00745273">
      <w:pPr>
        <w:pBdr>
          <w:bottom w:val="single" w:sz="6" w:space="1" w:color="auto"/>
        </w:pBdr>
        <w:ind w:firstLine="720"/>
        <w:jc w:val="both"/>
        <w:rPr>
          <w:vertAlign w:val="superscript"/>
        </w:rPr>
      </w:pPr>
      <w:r>
        <w:t xml:space="preserve">Some courts have also distinguished another limitation for </w:t>
      </w:r>
      <w:r>
        <w:rPr>
          <w:i/>
        </w:rPr>
        <w:t>Ashe</w:t>
      </w:r>
      <w:r>
        <w:t>’s rule regarding the standard of proof.</w:t>
      </w:r>
      <w:r w:rsidRPr="00B007CD">
        <w:rPr>
          <w:vertAlign w:val="superscript"/>
        </w:rPr>
        <w:t xml:space="preserve"> </w:t>
      </w:r>
      <w:r>
        <w:rPr>
          <w:vertAlign w:val="superscript"/>
        </w:rPr>
        <w:t>151</w:t>
      </w:r>
      <w:r>
        <w:t xml:space="preserve">  </w:t>
      </w:r>
      <w:r>
        <w:rPr>
          <w:i/>
        </w:rPr>
        <w:t>Dowling</w:t>
      </w:r>
      <w:r>
        <w:t xml:space="preserve"> has held that a prior acquittal does not determine the ultimate issue of fact in a present case if there is a di</w:t>
      </w:r>
      <w:r w:rsidR="006C7EB1">
        <w:t>fference in the relative burden</w:t>
      </w:r>
      <w:r>
        <w:t xml:space="preserve"> of proof.</w:t>
      </w:r>
      <w:r>
        <w:rPr>
          <w:vertAlign w:val="superscript"/>
        </w:rPr>
        <w:t>152</w:t>
      </w:r>
      <w:r>
        <w:t xml:space="preserve">  For example, an acquittal in a criminal case could mean that the jury </w:t>
      </w:r>
      <w:r w:rsidR="006C7EB1">
        <w:t>was still led to believe</w:t>
      </w:r>
      <w:r>
        <w:t xml:space="preserve"> </w:t>
      </w:r>
      <w:r w:rsidR="006C7EB1">
        <w:t xml:space="preserve">that </w:t>
      </w:r>
      <w:r>
        <w:t xml:space="preserve">the defendant was guilty, </w:t>
      </w:r>
      <w:r w:rsidR="006C7EB1">
        <w:t xml:space="preserve">but </w:t>
      </w:r>
      <w:r>
        <w:t xml:space="preserve">not </w:t>
      </w:r>
      <w:r w:rsidR="006C7EB1">
        <w:t xml:space="preserve">guilty </w:t>
      </w:r>
      <w:r>
        <w:t xml:space="preserve">beyond a reasonable doubt, so the government is not precluded from </w:t>
      </w:r>
      <w:proofErr w:type="spellStart"/>
      <w:r>
        <w:t>relitigating</w:t>
      </w:r>
      <w:proofErr w:type="spellEnd"/>
      <w:r>
        <w:t xml:space="preserve"> an issue in a subsequent action governed by a lower standard of proof.</w:t>
      </w:r>
      <w:r>
        <w:rPr>
          <w:vertAlign w:val="superscript"/>
        </w:rPr>
        <w:t>153</w:t>
      </w:r>
      <w:r>
        <w:t xml:space="preserve">  In </w:t>
      </w:r>
      <w:r>
        <w:rPr>
          <w:i/>
        </w:rPr>
        <w:t>Dowling</w:t>
      </w:r>
      <w:r>
        <w:t>, the defendant was charged with bank robbery but the jury failed to return a verdict.</w:t>
      </w:r>
      <w:r>
        <w:rPr>
          <w:vertAlign w:val="superscript"/>
        </w:rPr>
        <w:t>154</w:t>
      </w:r>
      <w:r>
        <w:t xml:space="preserve">  He was then tried again on this count and convicted but the conviction was reversed on appeal.</w:t>
      </w:r>
      <w:r>
        <w:rPr>
          <w:vertAlign w:val="superscript"/>
        </w:rPr>
        <w:t>155</w:t>
      </w:r>
      <w:r>
        <w:t xml:space="preserve">  Immediately following the reversal, he was arrested for a separate burglary and acquitted in a completely separate trial.</w:t>
      </w:r>
      <w:r>
        <w:rPr>
          <w:vertAlign w:val="superscript"/>
        </w:rPr>
        <w:t>156</w:t>
      </w:r>
      <w:r>
        <w:t xml:space="preserve">In a third trial for bank robbery, he was convicted on most counts because the prosecutor was able to use evidence from the burglary case, specifically a witness’ testimony, to </w:t>
      </w:r>
      <w:r w:rsidR="006C7EB1">
        <w:t>use</w:t>
      </w:r>
      <w:r>
        <w:t xml:space="preserve"> the defendant’s identity characteristics to link the defendant to the bank robbery crime.</w:t>
      </w:r>
      <w:r>
        <w:rPr>
          <w:vertAlign w:val="superscript"/>
        </w:rPr>
        <w:t>157</w:t>
      </w:r>
      <w:r>
        <w:t xml:space="preserve">  Ultimately, if a defendant is acquitted for one crime with a lower standard of proof, collateral estoppel does </w:t>
      </w:r>
      <w:r>
        <w:rPr>
          <w:i/>
        </w:rPr>
        <w:t>not</w:t>
      </w:r>
      <w:r>
        <w:t xml:space="preserve"> bar the introduction of that same crime in another trial of that defendant for separate crime with a higher standard of proof.</w:t>
      </w:r>
      <w:r>
        <w:rPr>
          <w:vertAlign w:val="superscript"/>
        </w:rPr>
        <w:t>158</w:t>
      </w:r>
    </w:p>
    <w:p w14:paraId="3CCC0D5E" w14:textId="77777777" w:rsidR="00745273" w:rsidRDefault="00745273" w:rsidP="00745273">
      <w:pPr>
        <w:pBdr>
          <w:bottom w:val="single" w:sz="6" w:space="1" w:color="auto"/>
        </w:pBdr>
        <w:jc w:val="both"/>
        <w:rPr>
          <w:vertAlign w:val="superscript"/>
        </w:rPr>
      </w:pPr>
    </w:p>
    <w:p w14:paraId="0983D53B" w14:textId="77777777" w:rsidR="00745273" w:rsidRDefault="00745273" w:rsidP="00745273">
      <w:pPr>
        <w:pBdr>
          <w:bottom w:val="single" w:sz="6" w:space="1" w:color="auto"/>
        </w:pBdr>
        <w:jc w:val="center"/>
        <w:rPr>
          <w:vertAlign w:val="superscript"/>
        </w:rPr>
      </w:pPr>
      <w:r w:rsidRPr="00ED23BC">
        <w:rPr>
          <w:b/>
          <w:sz w:val="28"/>
        </w:rPr>
        <w:t>Conclusion</w:t>
      </w:r>
    </w:p>
    <w:p w14:paraId="5CA3D6EB" w14:textId="77777777" w:rsidR="00745273" w:rsidRDefault="00745273" w:rsidP="00745273">
      <w:pPr>
        <w:pBdr>
          <w:bottom w:val="single" w:sz="6" w:space="1" w:color="auto"/>
        </w:pBdr>
        <w:jc w:val="both"/>
        <w:rPr>
          <w:vertAlign w:val="superscript"/>
        </w:rPr>
      </w:pPr>
    </w:p>
    <w:p w14:paraId="7BA0860B" w14:textId="681D7712" w:rsidR="00745273" w:rsidRDefault="006C7EB1" w:rsidP="00745273">
      <w:pPr>
        <w:pBdr>
          <w:bottom w:val="single" w:sz="6" w:space="1" w:color="auto"/>
        </w:pBdr>
        <w:ind w:firstLine="720"/>
        <w:jc w:val="both"/>
        <w:rPr>
          <w:vertAlign w:val="superscript"/>
        </w:rPr>
      </w:pPr>
      <w:r>
        <w:rPr>
          <w:i/>
        </w:rPr>
        <w:t xml:space="preserve">Bravo-Fernandez </w:t>
      </w:r>
      <w:r w:rsidR="00745273">
        <w:t xml:space="preserve">has been granted certiorari to appear before the United States Supreme Court to decide the issue of whether, under </w:t>
      </w:r>
      <w:r w:rsidR="00745273">
        <w:rPr>
          <w:i/>
        </w:rPr>
        <w:t xml:space="preserve">Ashe </w:t>
      </w:r>
      <w:r w:rsidR="00745273">
        <w:t>and</w:t>
      </w:r>
      <w:r w:rsidR="00745273">
        <w:rPr>
          <w:i/>
        </w:rPr>
        <w:t xml:space="preserve"> Yeager</w:t>
      </w:r>
      <w:r w:rsidR="00745273">
        <w:t>, a vacated, unconstitutional conviction can cancel out the preclusive effect of an acquittal under the collateral estoppel prong of the Double Jeopardy Clause.</w:t>
      </w:r>
      <w:r w:rsidR="00745273">
        <w:rPr>
          <w:vertAlign w:val="superscript"/>
        </w:rPr>
        <w:t>159</w:t>
      </w:r>
    </w:p>
    <w:p w14:paraId="7827C71E" w14:textId="39A6FD23" w:rsidR="00745273" w:rsidRDefault="00745273" w:rsidP="00745273">
      <w:pPr>
        <w:pBdr>
          <w:bottom w:val="single" w:sz="6" w:space="1" w:color="auto"/>
        </w:pBdr>
        <w:ind w:firstLine="720"/>
        <w:jc w:val="both"/>
        <w:rPr>
          <w:vertAlign w:val="superscript"/>
        </w:rPr>
      </w:pPr>
      <w:r w:rsidRPr="00D02472">
        <w:rPr>
          <w:i/>
        </w:rPr>
        <w:t>Ashe</w:t>
      </w:r>
      <w:r>
        <w:t xml:space="preserve"> ultimately warns the courts that if prosecutors were given two chances to convict a man, more people would be convicted because the first “practice round” would allow them to hone their organization, preparation, and presentation to better suit their case for the jury.</w:t>
      </w:r>
      <w:r>
        <w:rPr>
          <w:vertAlign w:val="superscript"/>
        </w:rPr>
        <w:t>160</w:t>
      </w:r>
      <w:r>
        <w:t xml:space="preserve">  </w:t>
      </w:r>
      <w:r w:rsidRPr="00D02472">
        <w:rPr>
          <w:i/>
        </w:rPr>
        <w:t>Yeager</w:t>
      </w:r>
      <w:r>
        <w:t xml:space="preserve"> decided that acquittals in an inconsistent </w:t>
      </w:r>
      <w:r w:rsidRPr="00C31307">
        <w:t>verdict that include hung counts may be given preclusive effect by the collateral estoppel doctrine because a hung count is a “nonevent” and should not be part of an issue preclusion analysis.</w:t>
      </w:r>
      <w:r w:rsidRPr="00C31307">
        <w:rPr>
          <w:vertAlign w:val="superscript"/>
        </w:rPr>
        <w:t>161</w:t>
      </w:r>
      <w:r>
        <w:t xml:space="preserve">  In addition, though </w:t>
      </w:r>
      <w:r>
        <w:rPr>
          <w:i/>
        </w:rPr>
        <w:t xml:space="preserve">Citron </w:t>
      </w:r>
      <w:r>
        <w:t>is not binding to the United Stat</w:t>
      </w:r>
      <w:r w:rsidR="006C7EB1">
        <w:t xml:space="preserve">es Supreme Court, the case gives </w:t>
      </w:r>
      <w:r>
        <w:t xml:space="preserve">insight into how the court should rule in </w:t>
      </w:r>
      <w:r>
        <w:rPr>
          <w:i/>
        </w:rPr>
        <w:t>Bravo-Fernandez</w:t>
      </w:r>
      <w:r>
        <w:t xml:space="preserve"> because it suggests that the defendants’ vacated convictions could be considered in the issue preclusion analysis to determine whether collateral estoppel is proper.</w:t>
      </w:r>
      <w:r>
        <w:rPr>
          <w:vertAlign w:val="superscript"/>
        </w:rPr>
        <w:t>162</w:t>
      </w:r>
      <w:r>
        <w:t xml:space="preserve">  Furthermore, </w:t>
      </w:r>
      <w:r>
        <w:rPr>
          <w:i/>
        </w:rPr>
        <w:t>Powell</w:t>
      </w:r>
      <w:r>
        <w:t xml:space="preserve"> held that a previous conviction could not be overturned simply due to an irrational inconsistent verdict if the court can not determine a single issue as a foundation of the jury’s decision because consistent verdicts are not necessary and could have been reached through many different factors including mistake or lenity.</w:t>
      </w:r>
      <w:r>
        <w:rPr>
          <w:sz w:val="22"/>
          <w:szCs w:val="22"/>
          <w:vertAlign w:val="superscript"/>
        </w:rPr>
        <w:t>163</w:t>
      </w:r>
      <w:r>
        <w:t xml:space="preserve"> </w:t>
      </w:r>
    </w:p>
    <w:p w14:paraId="2D391597" w14:textId="480A56C7" w:rsidR="00745273" w:rsidRPr="00745273" w:rsidRDefault="00745273" w:rsidP="00745273">
      <w:pPr>
        <w:pBdr>
          <w:bottom w:val="single" w:sz="6" w:space="1" w:color="auto"/>
        </w:pBdr>
        <w:ind w:firstLine="720"/>
        <w:jc w:val="both"/>
        <w:rPr>
          <w:vertAlign w:val="superscript"/>
        </w:rPr>
      </w:pPr>
      <w:r>
        <w:t>Taking into consideration these precedent cases, Bravo and Martinez were originally convicted of federal bribery.</w:t>
      </w:r>
      <w:r>
        <w:rPr>
          <w:sz w:val="22"/>
          <w:szCs w:val="22"/>
          <w:vertAlign w:val="superscript"/>
        </w:rPr>
        <w:t>164</w:t>
      </w:r>
      <w:r>
        <w:t xml:space="preserve">  Regardless of the improper jury instructions, the appellate court reversing the conviction, the district court vacating the conviction, or even the district court accidentally acquitting the conviction, the jury found Bravo and Martinez guilty for federal bribery.</w:t>
      </w:r>
      <w:r>
        <w:rPr>
          <w:sz w:val="22"/>
          <w:szCs w:val="22"/>
          <w:vertAlign w:val="superscript"/>
        </w:rPr>
        <w:t>165</w:t>
      </w:r>
      <w:r w:rsidR="006C7EB1">
        <w:t xml:space="preserve">  This alone </w:t>
      </w:r>
      <w:r>
        <w:t>should allow for a retrial because the only reason the conviction changed to an acquittal or a vacated conviction was due to court error, not a jury’s decision.</w:t>
      </w:r>
      <w:r>
        <w:rPr>
          <w:sz w:val="22"/>
          <w:szCs w:val="22"/>
          <w:vertAlign w:val="superscript"/>
        </w:rPr>
        <w:t>166</w:t>
      </w:r>
      <w:r>
        <w:t xml:space="preserve">  Although, there is always the argument that this would give the prosecution a second chance to convict the same two defendants with a better prepared case, exactly like </w:t>
      </w:r>
      <w:r>
        <w:rPr>
          <w:i/>
        </w:rPr>
        <w:t>Ashe</w:t>
      </w:r>
      <w:r>
        <w:t xml:space="preserve"> warns.</w:t>
      </w:r>
      <w:r>
        <w:rPr>
          <w:sz w:val="22"/>
          <w:szCs w:val="22"/>
          <w:vertAlign w:val="superscript"/>
        </w:rPr>
        <w:t>167</w:t>
      </w:r>
    </w:p>
    <w:p w14:paraId="61E885F9" w14:textId="77777777" w:rsidR="00745273" w:rsidRDefault="00745273" w:rsidP="00745273">
      <w:pPr>
        <w:pBdr>
          <w:bottom w:val="single" w:sz="6" w:space="1" w:color="auto"/>
        </w:pBdr>
        <w:ind w:firstLine="720"/>
        <w:jc w:val="both"/>
      </w:pPr>
    </w:p>
    <w:p w14:paraId="71B10B3C" w14:textId="77777777" w:rsidR="0094434E" w:rsidRPr="0094434E" w:rsidRDefault="0094434E" w:rsidP="0094434E"/>
    <w:p w14:paraId="3008F4AF" w14:textId="77777777" w:rsidR="0094434E" w:rsidRPr="0094434E" w:rsidRDefault="0094434E" w:rsidP="0094434E">
      <w:pPr>
        <w:ind w:firstLine="360"/>
        <w:jc w:val="both"/>
        <w:rPr>
          <w:strike/>
        </w:rPr>
      </w:pPr>
      <w:r w:rsidRPr="0094434E">
        <w:rPr>
          <w:vertAlign w:val="superscript"/>
        </w:rPr>
        <w:t>1</w:t>
      </w:r>
      <w:r w:rsidRPr="0094434E">
        <w:t xml:space="preserve"> </w:t>
      </w:r>
      <w:r w:rsidRPr="0094434E">
        <w:rPr>
          <w:smallCaps/>
        </w:rPr>
        <w:t>Abraham Clark Freeman,</w:t>
      </w:r>
      <w:r w:rsidRPr="0094434E">
        <w:t xml:space="preserve"> </w:t>
      </w:r>
      <w:r w:rsidRPr="0094434E">
        <w:rPr>
          <w:smallCaps/>
        </w:rPr>
        <w:t xml:space="preserve">The American State Reports: Containing the Cases of General Value and Authority Subsequent to Those Contained in the “American Decisions” and the “American Reports” Decided in the Courts of Last Resort of the Several States 277 (1903), </w:t>
      </w:r>
      <w:r w:rsidRPr="0094434E">
        <w:t xml:space="preserve">https://books.google.com/books/about/The_American_State_Reports.html?id=EKMzAQAAMAAJ (citing </w:t>
      </w:r>
      <w:r w:rsidRPr="0094434E">
        <w:rPr>
          <w:i/>
        </w:rPr>
        <w:t>Rex v. Duchess of Kingston</w:t>
      </w:r>
      <w:r w:rsidRPr="0094434E">
        <w:t>’s holding that the judgment of one court is a bar on the same issue in another court between the same parties)</w:t>
      </w:r>
      <w:r w:rsidRPr="0094434E">
        <w:rPr>
          <w:smallCaps/>
        </w:rPr>
        <w:t xml:space="preserve">; </w:t>
      </w:r>
      <w:r w:rsidRPr="0094434E">
        <w:rPr>
          <w:i/>
        </w:rPr>
        <w:t>Rex v. Duchess of Kingston</w:t>
      </w:r>
      <w:r w:rsidRPr="0094434E">
        <w:t xml:space="preserve">, 20 How. St. Tr. 355, 538 (1776); </w:t>
      </w:r>
    </w:p>
    <w:p w14:paraId="629FA906" w14:textId="77777777" w:rsidR="0094434E" w:rsidRPr="0094434E" w:rsidRDefault="0094434E" w:rsidP="0094434E">
      <w:pPr>
        <w:ind w:firstLine="360"/>
        <w:jc w:val="both"/>
      </w:pPr>
      <w:r w:rsidRPr="0094434E">
        <w:rPr>
          <w:vertAlign w:val="superscript"/>
        </w:rPr>
        <w:t>2</w:t>
      </w:r>
      <w:r w:rsidRPr="0094434E">
        <w:t xml:space="preserve"> Alex </w:t>
      </w:r>
      <w:proofErr w:type="spellStart"/>
      <w:r w:rsidRPr="0094434E">
        <w:t>Kozinski</w:t>
      </w:r>
      <w:proofErr w:type="spellEnd"/>
      <w:r w:rsidRPr="0094434E">
        <w:t xml:space="preserve">, </w:t>
      </w:r>
      <w:r w:rsidRPr="0094434E">
        <w:rPr>
          <w:i/>
        </w:rPr>
        <w:t>Double Jeopardy</w:t>
      </w:r>
      <w:r w:rsidRPr="0094434E">
        <w:t xml:space="preserve">, 44 Geo. L.J. Rev. Crim. Proc. 522, 522 (2015) (discussing double jeopardy definition). </w:t>
      </w:r>
    </w:p>
    <w:p w14:paraId="22244803" w14:textId="77777777" w:rsidR="0094434E" w:rsidRPr="0094434E" w:rsidRDefault="0094434E" w:rsidP="0094434E">
      <w:pPr>
        <w:ind w:firstLine="360"/>
        <w:jc w:val="both"/>
      </w:pPr>
      <w:r w:rsidRPr="0094434E">
        <w:rPr>
          <w:vertAlign w:val="superscript"/>
        </w:rPr>
        <w:t>3</w:t>
      </w:r>
      <w:r w:rsidRPr="0094434E">
        <w:t xml:space="preserve"> </w:t>
      </w:r>
      <w:r w:rsidRPr="0094434E">
        <w:rPr>
          <w:i/>
        </w:rPr>
        <w:t>Id.</w:t>
      </w:r>
      <w:r w:rsidRPr="0094434E">
        <w:t xml:space="preserve"> at 544.</w:t>
      </w:r>
    </w:p>
    <w:p w14:paraId="64EB6617" w14:textId="77777777" w:rsidR="0094434E" w:rsidRPr="0094434E" w:rsidRDefault="0094434E" w:rsidP="0094434E">
      <w:pPr>
        <w:ind w:firstLine="360"/>
        <w:jc w:val="both"/>
      </w:pPr>
      <w:r w:rsidRPr="0094434E">
        <w:rPr>
          <w:vertAlign w:val="superscript"/>
        </w:rPr>
        <w:t>4</w:t>
      </w:r>
      <w:r w:rsidRPr="0094434E">
        <w:t xml:space="preserve"> </w:t>
      </w:r>
      <w:r w:rsidRPr="0094434E">
        <w:rPr>
          <w:i/>
          <w:color w:val="1C1C1C"/>
        </w:rPr>
        <w:t>United States v. Bravo-Fernandez</w:t>
      </w:r>
      <w:r w:rsidRPr="0094434E">
        <w:rPr>
          <w:color w:val="1C1C1C"/>
        </w:rPr>
        <w:t xml:space="preserve">, 790 F.3d 41 (1d </w:t>
      </w:r>
      <w:r w:rsidRPr="0094434E">
        <w:t xml:space="preserve">Cir. 2015). </w:t>
      </w:r>
    </w:p>
    <w:p w14:paraId="35B879BE" w14:textId="77777777" w:rsidR="0094434E" w:rsidRPr="0094434E" w:rsidRDefault="0094434E" w:rsidP="0094434E">
      <w:pPr>
        <w:ind w:firstLine="360"/>
        <w:jc w:val="both"/>
      </w:pPr>
      <w:r w:rsidRPr="0094434E">
        <w:rPr>
          <w:vertAlign w:val="superscript"/>
        </w:rPr>
        <w:t>5</w:t>
      </w:r>
      <w:r w:rsidRPr="0094434E">
        <w:t xml:space="preserve"> </w:t>
      </w:r>
      <w:r w:rsidRPr="0094434E">
        <w:rPr>
          <w:i/>
        </w:rPr>
        <w:t xml:space="preserve">Id. </w:t>
      </w:r>
      <w:r w:rsidRPr="0094434E">
        <w:t xml:space="preserve">at 43; </w:t>
      </w:r>
      <w:r w:rsidRPr="0094434E">
        <w:rPr>
          <w:i/>
        </w:rPr>
        <w:t>United States v. Fernandez</w:t>
      </w:r>
      <w:r w:rsidRPr="0094434E">
        <w:t>, 722 F.3d 1, 7 (1d Cir. 2013).</w:t>
      </w:r>
    </w:p>
    <w:p w14:paraId="01232B65" w14:textId="77777777" w:rsidR="0094434E" w:rsidRPr="0094434E" w:rsidRDefault="0094434E" w:rsidP="0094434E">
      <w:pPr>
        <w:ind w:firstLine="360"/>
        <w:jc w:val="both"/>
      </w:pPr>
      <w:r w:rsidRPr="0094434E">
        <w:rPr>
          <w:vertAlign w:val="superscript"/>
        </w:rPr>
        <w:t>6</w:t>
      </w:r>
      <w:r w:rsidRPr="0094434E">
        <w:rPr>
          <w:i/>
        </w:rPr>
        <w:t xml:space="preserve"> Fernandez</w:t>
      </w:r>
      <w:r w:rsidRPr="0094434E">
        <w:t xml:space="preserve">, 722 F.3d at 6-7. </w:t>
      </w:r>
    </w:p>
    <w:p w14:paraId="3D446C1A" w14:textId="77777777" w:rsidR="0094434E" w:rsidRPr="0094434E" w:rsidRDefault="0094434E" w:rsidP="0094434E">
      <w:pPr>
        <w:ind w:firstLine="360"/>
        <w:jc w:val="both"/>
      </w:pPr>
      <w:r w:rsidRPr="0094434E">
        <w:rPr>
          <w:vertAlign w:val="superscript"/>
        </w:rPr>
        <w:t>7</w:t>
      </w:r>
      <w:r w:rsidRPr="0094434E">
        <w:t xml:space="preserve"> </w:t>
      </w:r>
      <w:r w:rsidRPr="0094434E">
        <w:rPr>
          <w:i/>
        </w:rPr>
        <w:t xml:space="preserve">Id. </w:t>
      </w:r>
      <w:r w:rsidRPr="0094434E">
        <w:t xml:space="preserve">at 7. </w:t>
      </w:r>
    </w:p>
    <w:p w14:paraId="04F3F3F2" w14:textId="77777777" w:rsidR="0094434E" w:rsidRPr="0094434E" w:rsidRDefault="0094434E" w:rsidP="0094434E">
      <w:pPr>
        <w:ind w:firstLine="360"/>
        <w:jc w:val="both"/>
        <w:rPr>
          <w:i/>
        </w:rPr>
      </w:pPr>
      <w:r w:rsidRPr="0094434E">
        <w:rPr>
          <w:vertAlign w:val="superscript"/>
        </w:rPr>
        <w:t>8</w:t>
      </w:r>
      <w:r w:rsidRPr="0094434E">
        <w:t xml:space="preserve"> </w:t>
      </w:r>
      <w:r w:rsidRPr="0094434E">
        <w:rPr>
          <w:i/>
        </w:rPr>
        <w:t xml:space="preserve">Id. </w:t>
      </w:r>
    </w:p>
    <w:p w14:paraId="1DE24955" w14:textId="77777777" w:rsidR="0094434E" w:rsidRPr="0094434E" w:rsidRDefault="0094434E" w:rsidP="0094434E">
      <w:pPr>
        <w:ind w:firstLine="360"/>
        <w:jc w:val="both"/>
        <w:rPr>
          <w:i/>
        </w:rPr>
      </w:pPr>
      <w:r w:rsidRPr="0094434E">
        <w:rPr>
          <w:vertAlign w:val="superscript"/>
        </w:rPr>
        <w:t>9</w:t>
      </w:r>
      <w:r w:rsidRPr="0094434E">
        <w:t xml:space="preserve"> </w:t>
      </w:r>
      <w:r w:rsidRPr="0094434E">
        <w:rPr>
          <w:i/>
        </w:rPr>
        <w:t>Id.</w:t>
      </w:r>
    </w:p>
    <w:p w14:paraId="0D24011F" w14:textId="77777777" w:rsidR="0094434E" w:rsidRPr="0094434E" w:rsidRDefault="0094434E" w:rsidP="0094434E">
      <w:pPr>
        <w:ind w:firstLine="360"/>
        <w:jc w:val="both"/>
        <w:rPr>
          <w:i/>
        </w:rPr>
      </w:pPr>
      <w:r w:rsidRPr="0094434E">
        <w:rPr>
          <w:vertAlign w:val="superscript"/>
        </w:rPr>
        <w:t>10</w:t>
      </w:r>
      <w:r w:rsidRPr="0094434E">
        <w:t xml:space="preserve"> </w:t>
      </w:r>
      <w:r w:rsidRPr="0094434E">
        <w:rPr>
          <w:i/>
        </w:rPr>
        <w:t xml:space="preserve">Id. </w:t>
      </w:r>
    </w:p>
    <w:p w14:paraId="394BC16D" w14:textId="77777777" w:rsidR="0094434E" w:rsidRPr="0094434E" w:rsidRDefault="0094434E" w:rsidP="0094434E">
      <w:pPr>
        <w:ind w:firstLine="360"/>
        <w:jc w:val="both"/>
        <w:rPr>
          <w:i/>
        </w:rPr>
      </w:pPr>
      <w:r w:rsidRPr="0094434E">
        <w:rPr>
          <w:vertAlign w:val="superscript"/>
        </w:rPr>
        <w:t>11</w:t>
      </w:r>
      <w:r w:rsidRPr="0094434E">
        <w:t xml:space="preserve"> </w:t>
      </w:r>
      <w:r w:rsidRPr="0094434E">
        <w:rPr>
          <w:smallCaps/>
        </w:rPr>
        <w:t xml:space="preserve">18 U.S.C. </w:t>
      </w:r>
      <w:r w:rsidRPr="0094434E">
        <w:rPr>
          <w:smallCaps/>
          <w:color w:val="1C1C1C"/>
        </w:rPr>
        <w:t>§ 371</w:t>
      </w:r>
      <w:r w:rsidRPr="0094434E">
        <w:rPr>
          <w:color w:val="1C1C1C"/>
        </w:rPr>
        <w:t xml:space="preserve"> (1994) (making unlawful two or more persons conspiring to commit any offense against, or to defraud, the United States or it’s agency for any purpose). </w:t>
      </w:r>
    </w:p>
    <w:p w14:paraId="2A485129" w14:textId="77777777" w:rsidR="0094434E" w:rsidRPr="0094434E" w:rsidRDefault="0094434E" w:rsidP="0094434E">
      <w:pPr>
        <w:ind w:firstLine="360"/>
        <w:jc w:val="both"/>
      </w:pPr>
      <w:r w:rsidRPr="0094434E">
        <w:rPr>
          <w:vertAlign w:val="superscript"/>
        </w:rPr>
        <w:t>12</w:t>
      </w:r>
      <w:r w:rsidRPr="0094434E">
        <w:t xml:space="preserve"> </w:t>
      </w:r>
      <w:r w:rsidRPr="0094434E">
        <w:rPr>
          <w:smallCaps/>
        </w:rPr>
        <w:t xml:space="preserve">18 U.S.C. </w:t>
      </w:r>
      <w:r w:rsidRPr="0094434E">
        <w:rPr>
          <w:smallCaps/>
          <w:color w:val="1C1C1C"/>
        </w:rPr>
        <w:t>§ 371</w:t>
      </w:r>
      <w:r w:rsidRPr="0094434E">
        <w:rPr>
          <w:color w:val="1C1C1C"/>
        </w:rPr>
        <w:t xml:space="preserve"> (1994); </w:t>
      </w:r>
      <w:r w:rsidRPr="0094434E">
        <w:rPr>
          <w:smallCaps/>
          <w:color w:val="1C1C1C"/>
        </w:rPr>
        <w:t>18 U.S.C. § 1952(</w:t>
      </w:r>
      <w:r w:rsidRPr="0094434E">
        <w:rPr>
          <w:color w:val="1C1C1C"/>
        </w:rPr>
        <w:t>a)(3)(A</w:t>
      </w:r>
      <w:r w:rsidRPr="0094434E">
        <w:rPr>
          <w:smallCaps/>
          <w:color w:val="1C1C1C"/>
        </w:rPr>
        <w:t>) (2014)</w:t>
      </w:r>
      <w:r w:rsidRPr="0094434E">
        <w:rPr>
          <w:color w:val="1C1C1C"/>
        </w:rPr>
        <w:t xml:space="preserve">; </w:t>
      </w:r>
      <w:r w:rsidRPr="0094434E">
        <w:rPr>
          <w:smallCaps/>
          <w:color w:val="1C1C1C"/>
        </w:rPr>
        <w:t>18 U.S.C.</w:t>
      </w:r>
      <w:r w:rsidRPr="0094434E">
        <w:rPr>
          <w:color w:val="1C1C1C"/>
        </w:rPr>
        <w:t xml:space="preserve"> § 666 (1994); </w:t>
      </w:r>
      <w:r w:rsidRPr="0094434E">
        <w:rPr>
          <w:i/>
        </w:rPr>
        <w:t>Fernandez</w:t>
      </w:r>
      <w:r w:rsidRPr="0094434E">
        <w:t xml:space="preserve">, 722 F.3d at 7. </w:t>
      </w:r>
    </w:p>
    <w:p w14:paraId="335E4E37" w14:textId="77777777" w:rsidR="0094434E" w:rsidRPr="0094434E" w:rsidRDefault="0094434E" w:rsidP="0094434E">
      <w:pPr>
        <w:ind w:firstLine="360"/>
        <w:jc w:val="both"/>
      </w:pPr>
      <w:r w:rsidRPr="0094434E">
        <w:rPr>
          <w:vertAlign w:val="superscript"/>
        </w:rPr>
        <w:t>13</w:t>
      </w:r>
      <w:r w:rsidRPr="0094434E">
        <w:t xml:space="preserve"> </w:t>
      </w:r>
      <w:r w:rsidRPr="0094434E">
        <w:rPr>
          <w:i/>
        </w:rPr>
        <w:t>Fernandez</w:t>
      </w:r>
      <w:r w:rsidRPr="0094434E">
        <w:t>, 722 F.3d</w:t>
      </w:r>
      <w:r w:rsidRPr="0094434E">
        <w:rPr>
          <w:i/>
        </w:rPr>
        <w:t xml:space="preserve"> </w:t>
      </w:r>
      <w:r w:rsidRPr="0094434E">
        <w:t>at 8.</w:t>
      </w:r>
    </w:p>
    <w:p w14:paraId="43EB4FEC" w14:textId="77777777" w:rsidR="0094434E" w:rsidRPr="0094434E" w:rsidRDefault="0094434E" w:rsidP="0094434E">
      <w:pPr>
        <w:ind w:firstLine="360"/>
        <w:jc w:val="both"/>
        <w:rPr>
          <w:i/>
        </w:rPr>
      </w:pPr>
      <w:r w:rsidRPr="0094434E">
        <w:rPr>
          <w:vertAlign w:val="superscript"/>
        </w:rPr>
        <w:t>14</w:t>
      </w:r>
      <w:r w:rsidRPr="0094434E">
        <w:t xml:space="preserve"> </w:t>
      </w:r>
      <w:r w:rsidRPr="0094434E">
        <w:rPr>
          <w:i/>
          <w:color w:val="1C1C1C"/>
        </w:rPr>
        <w:t xml:space="preserve">Id. </w:t>
      </w:r>
      <w:r w:rsidRPr="0094434E">
        <w:rPr>
          <w:color w:val="1C1C1C"/>
        </w:rPr>
        <w:t>at  27.</w:t>
      </w:r>
    </w:p>
    <w:p w14:paraId="3565F690" w14:textId="77777777" w:rsidR="0094434E" w:rsidRPr="0094434E" w:rsidRDefault="0094434E" w:rsidP="0094434E">
      <w:pPr>
        <w:ind w:firstLine="360"/>
        <w:jc w:val="both"/>
      </w:pPr>
      <w:r w:rsidRPr="0094434E">
        <w:rPr>
          <w:vertAlign w:val="superscript"/>
        </w:rPr>
        <w:t>15</w:t>
      </w:r>
      <w:r w:rsidRPr="0094434E">
        <w:t xml:space="preserve"> </w:t>
      </w:r>
      <w:r w:rsidRPr="0094434E">
        <w:rPr>
          <w:i/>
        </w:rPr>
        <w:t xml:space="preserve">Id. </w:t>
      </w:r>
      <w:r w:rsidRPr="0094434E">
        <w:t>at 26-27.</w:t>
      </w:r>
    </w:p>
    <w:p w14:paraId="23B0C662" w14:textId="77777777" w:rsidR="0094434E" w:rsidRPr="0094434E" w:rsidRDefault="0094434E" w:rsidP="0094434E">
      <w:pPr>
        <w:ind w:firstLine="360"/>
        <w:jc w:val="both"/>
      </w:pPr>
      <w:r w:rsidRPr="0094434E">
        <w:rPr>
          <w:vertAlign w:val="superscript"/>
        </w:rPr>
        <w:t>16</w:t>
      </w:r>
      <w:r w:rsidRPr="0094434E">
        <w:t xml:space="preserve"> </w:t>
      </w:r>
      <w:r w:rsidRPr="0094434E">
        <w:rPr>
          <w:i/>
        </w:rPr>
        <w:t xml:space="preserve">Id. </w:t>
      </w:r>
      <w:r w:rsidRPr="0094434E">
        <w:t>at 27.</w:t>
      </w:r>
    </w:p>
    <w:p w14:paraId="4FB76FCC" w14:textId="77777777" w:rsidR="0094434E" w:rsidRPr="0094434E" w:rsidRDefault="0094434E" w:rsidP="0094434E">
      <w:pPr>
        <w:ind w:firstLine="360"/>
        <w:jc w:val="both"/>
        <w:rPr>
          <w:i/>
        </w:rPr>
      </w:pPr>
      <w:r w:rsidRPr="0094434E">
        <w:rPr>
          <w:vertAlign w:val="superscript"/>
        </w:rPr>
        <w:t>17</w:t>
      </w:r>
      <w:r w:rsidRPr="0094434E">
        <w:t xml:space="preserve"> </w:t>
      </w:r>
      <w:r w:rsidRPr="0094434E">
        <w:rPr>
          <w:i/>
        </w:rPr>
        <w:t>Bravo-Fernandez</w:t>
      </w:r>
      <w:r w:rsidRPr="0094434E">
        <w:t xml:space="preserve">, </w:t>
      </w:r>
      <w:r w:rsidRPr="0094434E">
        <w:rPr>
          <w:color w:val="1C1C1C"/>
        </w:rPr>
        <w:t>790 F.3d at 45.</w:t>
      </w:r>
    </w:p>
    <w:p w14:paraId="4B48C8EA" w14:textId="77777777" w:rsidR="0094434E" w:rsidRPr="0094434E" w:rsidRDefault="0094434E" w:rsidP="0094434E">
      <w:pPr>
        <w:ind w:firstLine="360"/>
        <w:jc w:val="both"/>
      </w:pPr>
      <w:r w:rsidRPr="0094434E">
        <w:rPr>
          <w:vertAlign w:val="superscript"/>
        </w:rPr>
        <w:t>18</w:t>
      </w:r>
      <w:r w:rsidRPr="0094434E">
        <w:t xml:space="preserve"> </w:t>
      </w:r>
      <w:r w:rsidRPr="0094434E">
        <w:rPr>
          <w:i/>
        </w:rPr>
        <w:t xml:space="preserve">Id. </w:t>
      </w:r>
      <w:r w:rsidRPr="0094434E">
        <w:t>at 45.</w:t>
      </w:r>
    </w:p>
    <w:p w14:paraId="425090C0" w14:textId="77777777" w:rsidR="0094434E" w:rsidRPr="0094434E" w:rsidRDefault="0094434E" w:rsidP="0094434E">
      <w:pPr>
        <w:ind w:firstLine="360"/>
        <w:jc w:val="both"/>
      </w:pPr>
      <w:r w:rsidRPr="0094434E">
        <w:rPr>
          <w:vertAlign w:val="superscript"/>
        </w:rPr>
        <w:t>19</w:t>
      </w:r>
      <w:r w:rsidRPr="0094434E">
        <w:t xml:space="preserve"> </w:t>
      </w:r>
      <w:r w:rsidRPr="0094434E">
        <w:rPr>
          <w:i/>
        </w:rPr>
        <w:t xml:space="preserve">Id. </w:t>
      </w:r>
      <w:r w:rsidRPr="0094434E">
        <w:t>at 44-45.</w:t>
      </w:r>
    </w:p>
    <w:p w14:paraId="27CDE420" w14:textId="77777777" w:rsidR="0094434E" w:rsidRPr="0094434E" w:rsidRDefault="0094434E" w:rsidP="0094434E">
      <w:pPr>
        <w:ind w:firstLine="360"/>
        <w:jc w:val="both"/>
      </w:pPr>
      <w:r w:rsidRPr="0094434E">
        <w:rPr>
          <w:vertAlign w:val="superscript"/>
        </w:rPr>
        <w:t>20</w:t>
      </w:r>
      <w:r w:rsidRPr="0094434E">
        <w:t xml:space="preserve"> </w:t>
      </w:r>
      <w:r w:rsidRPr="0094434E">
        <w:rPr>
          <w:i/>
        </w:rPr>
        <w:t xml:space="preserve">Id. </w:t>
      </w:r>
    </w:p>
    <w:p w14:paraId="20B57951" w14:textId="77777777" w:rsidR="0094434E" w:rsidRPr="0094434E" w:rsidRDefault="0094434E" w:rsidP="0094434E">
      <w:pPr>
        <w:ind w:firstLine="360"/>
        <w:jc w:val="both"/>
      </w:pPr>
      <w:r w:rsidRPr="0094434E">
        <w:rPr>
          <w:vertAlign w:val="superscript"/>
        </w:rPr>
        <w:t>21</w:t>
      </w:r>
      <w:r w:rsidRPr="0094434E">
        <w:t xml:space="preserve"> </w:t>
      </w:r>
      <w:r w:rsidRPr="0094434E">
        <w:rPr>
          <w:i/>
        </w:rPr>
        <w:t xml:space="preserve">Id. </w:t>
      </w:r>
      <w:r w:rsidRPr="0094434E">
        <w:t>at 45.</w:t>
      </w:r>
    </w:p>
    <w:p w14:paraId="6CFBDC29" w14:textId="77777777" w:rsidR="0094434E" w:rsidRPr="0094434E" w:rsidRDefault="0094434E" w:rsidP="0094434E">
      <w:pPr>
        <w:ind w:firstLine="360"/>
        <w:jc w:val="both"/>
        <w:rPr>
          <w:i/>
        </w:rPr>
      </w:pPr>
      <w:r w:rsidRPr="0094434E">
        <w:rPr>
          <w:vertAlign w:val="superscript"/>
        </w:rPr>
        <w:t>22</w:t>
      </w:r>
      <w:r w:rsidRPr="0094434E">
        <w:t xml:space="preserve"> </w:t>
      </w:r>
      <w:r w:rsidRPr="0094434E">
        <w:rPr>
          <w:i/>
        </w:rPr>
        <w:t>Id.</w:t>
      </w:r>
    </w:p>
    <w:p w14:paraId="1539F287" w14:textId="77777777" w:rsidR="0094434E" w:rsidRPr="0094434E" w:rsidRDefault="0094434E" w:rsidP="0094434E">
      <w:pPr>
        <w:ind w:firstLine="360"/>
        <w:jc w:val="both"/>
        <w:rPr>
          <w:i/>
        </w:rPr>
      </w:pPr>
      <w:r w:rsidRPr="0094434E">
        <w:rPr>
          <w:vertAlign w:val="superscript"/>
        </w:rPr>
        <w:t>23</w:t>
      </w:r>
      <w:r w:rsidRPr="0094434E">
        <w:t xml:space="preserve"> </w:t>
      </w:r>
      <w:r w:rsidRPr="0094434E">
        <w:rPr>
          <w:i/>
        </w:rPr>
        <w:t xml:space="preserve">Id. </w:t>
      </w:r>
    </w:p>
    <w:p w14:paraId="6B19F297" w14:textId="77777777" w:rsidR="0094434E" w:rsidRPr="0094434E" w:rsidRDefault="0094434E" w:rsidP="0094434E">
      <w:pPr>
        <w:ind w:firstLine="360"/>
        <w:jc w:val="both"/>
        <w:rPr>
          <w:i/>
        </w:rPr>
      </w:pPr>
      <w:r w:rsidRPr="0094434E">
        <w:rPr>
          <w:vertAlign w:val="superscript"/>
        </w:rPr>
        <w:t>24</w:t>
      </w:r>
      <w:r w:rsidRPr="0094434E">
        <w:t xml:space="preserve"> </w:t>
      </w:r>
      <w:r w:rsidRPr="0094434E">
        <w:rPr>
          <w:i/>
          <w:color w:val="1C1C1C"/>
        </w:rPr>
        <w:t>Fernandez,</w:t>
      </w:r>
      <w:r w:rsidRPr="0094434E">
        <w:rPr>
          <w:color w:val="1C1C1C"/>
        </w:rPr>
        <w:t xml:space="preserve"> 722 F.3d at 16.</w:t>
      </w:r>
    </w:p>
    <w:p w14:paraId="5D7C8AFB" w14:textId="77777777" w:rsidR="0094434E" w:rsidRPr="0094434E" w:rsidRDefault="0094434E" w:rsidP="0094434E">
      <w:pPr>
        <w:ind w:firstLine="360"/>
        <w:jc w:val="both"/>
        <w:rPr>
          <w:i/>
        </w:rPr>
      </w:pPr>
      <w:r w:rsidRPr="0094434E">
        <w:rPr>
          <w:vertAlign w:val="superscript"/>
        </w:rPr>
        <w:t>25</w:t>
      </w:r>
      <w:r w:rsidRPr="0094434E">
        <w:t xml:space="preserve"> </w:t>
      </w:r>
      <w:r w:rsidRPr="0094434E">
        <w:rPr>
          <w:i/>
          <w:color w:val="1C1C1C"/>
        </w:rPr>
        <w:t xml:space="preserve">Id. </w:t>
      </w:r>
      <w:r w:rsidRPr="0094434E">
        <w:rPr>
          <w:color w:val="1C1C1C"/>
        </w:rPr>
        <w:t xml:space="preserve">at 17-19.  </w:t>
      </w:r>
    </w:p>
    <w:p w14:paraId="0DECB067" w14:textId="77777777" w:rsidR="0094434E" w:rsidRPr="0094434E" w:rsidRDefault="0094434E" w:rsidP="0094434E">
      <w:pPr>
        <w:ind w:firstLine="360"/>
        <w:jc w:val="both"/>
      </w:pPr>
      <w:r w:rsidRPr="0094434E">
        <w:rPr>
          <w:vertAlign w:val="superscript"/>
        </w:rPr>
        <w:t>26</w:t>
      </w:r>
      <w:r w:rsidRPr="0094434E">
        <w:t xml:space="preserve"> </w:t>
      </w:r>
      <w:r w:rsidRPr="0094434E">
        <w:rPr>
          <w:i/>
        </w:rPr>
        <w:t xml:space="preserve">Id. </w:t>
      </w:r>
      <w:r w:rsidRPr="0094434E">
        <w:t>at 17-18.</w:t>
      </w:r>
    </w:p>
    <w:p w14:paraId="4C382480" w14:textId="77777777" w:rsidR="0094434E" w:rsidRPr="0094434E" w:rsidRDefault="0094434E" w:rsidP="0094434E">
      <w:pPr>
        <w:ind w:firstLine="360"/>
        <w:jc w:val="both"/>
      </w:pPr>
      <w:r w:rsidRPr="0094434E">
        <w:rPr>
          <w:vertAlign w:val="superscript"/>
        </w:rPr>
        <w:t>27</w:t>
      </w:r>
      <w:r w:rsidRPr="0094434E">
        <w:t xml:space="preserve"> </w:t>
      </w:r>
      <w:r w:rsidRPr="0094434E">
        <w:rPr>
          <w:i/>
        </w:rPr>
        <w:t>Id.</w:t>
      </w:r>
    </w:p>
    <w:p w14:paraId="20DD2E79" w14:textId="77777777" w:rsidR="0094434E" w:rsidRPr="0094434E" w:rsidRDefault="0094434E" w:rsidP="0094434E">
      <w:pPr>
        <w:ind w:firstLine="360"/>
        <w:jc w:val="both"/>
      </w:pPr>
      <w:r w:rsidRPr="0094434E">
        <w:rPr>
          <w:vertAlign w:val="superscript"/>
        </w:rPr>
        <w:t>28</w:t>
      </w:r>
      <w:r w:rsidRPr="0094434E">
        <w:t xml:space="preserve"> </w:t>
      </w:r>
      <w:r w:rsidRPr="0094434E">
        <w:rPr>
          <w:i/>
        </w:rPr>
        <w:t xml:space="preserve">Id. </w:t>
      </w:r>
      <w:r w:rsidRPr="0094434E">
        <w:t>at 18-19.</w:t>
      </w:r>
    </w:p>
    <w:p w14:paraId="604CA7FB" w14:textId="77777777" w:rsidR="0094434E" w:rsidRPr="0094434E" w:rsidRDefault="0094434E" w:rsidP="0094434E">
      <w:pPr>
        <w:ind w:firstLine="360"/>
        <w:jc w:val="both"/>
        <w:rPr>
          <w:color w:val="1C1C1C"/>
        </w:rPr>
      </w:pPr>
      <w:r w:rsidRPr="0094434E">
        <w:rPr>
          <w:vertAlign w:val="superscript"/>
        </w:rPr>
        <w:t>29</w:t>
      </w:r>
      <w:r w:rsidRPr="0094434E">
        <w:t xml:space="preserve"> </w:t>
      </w:r>
      <w:r w:rsidRPr="0094434E">
        <w:rPr>
          <w:i/>
        </w:rPr>
        <w:t>Fernandez</w:t>
      </w:r>
      <w:r w:rsidRPr="0094434E">
        <w:t xml:space="preserve">, 722 F.3d 1, 19 (1d Cir. 2013) (quoting </w:t>
      </w:r>
      <w:r w:rsidRPr="0094434E">
        <w:rPr>
          <w:i/>
          <w:color w:val="1C1C1C"/>
        </w:rPr>
        <w:t>United States v. Sun-Diamond Growers of California</w:t>
      </w:r>
      <w:r w:rsidRPr="0094434E">
        <w:rPr>
          <w:color w:val="1C1C1C"/>
        </w:rPr>
        <w:t xml:space="preserve">, 526 U.S. 398, 494-05 (1999)). </w:t>
      </w:r>
    </w:p>
    <w:p w14:paraId="77D521B8" w14:textId="77777777" w:rsidR="0094434E" w:rsidRPr="0094434E" w:rsidRDefault="0094434E" w:rsidP="0094434E">
      <w:pPr>
        <w:ind w:firstLine="360"/>
        <w:jc w:val="both"/>
        <w:rPr>
          <w:i/>
        </w:rPr>
      </w:pPr>
      <w:r w:rsidRPr="0094434E">
        <w:rPr>
          <w:vertAlign w:val="superscript"/>
        </w:rPr>
        <w:t>30</w:t>
      </w:r>
      <w:r w:rsidRPr="0094434E">
        <w:t xml:space="preserve"> </w:t>
      </w:r>
      <w:r w:rsidRPr="0094434E">
        <w:rPr>
          <w:i/>
        </w:rPr>
        <w:t>Fernandez</w:t>
      </w:r>
      <w:r w:rsidRPr="0094434E">
        <w:t>, 722 F.3d at 19.</w:t>
      </w:r>
      <w:r w:rsidRPr="0094434E">
        <w:rPr>
          <w:i/>
        </w:rPr>
        <w:t xml:space="preserve"> </w:t>
      </w:r>
    </w:p>
    <w:p w14:paraId="467B925E" w14:textId="77777777" w:rsidR="0094434E" w:rsidRPr="0094434E" w:rsidRDefault="0094434E" w:rsidP="0094434E">
      <w:pPr>
        <w:ind w:firstLine="360"/>
        <w:jc w:val="both"/>
        <w:rPr>
          <w:i/>
        </w:rPr>
      </w:pPr>
      <w:r w:rsidRPr="0094434E">
        <w:rPr>
          <w:vertAlign w:val="superscript"/>
        </w:rPr>
        <w:t>31</w:t>
      </w:r>
      <w:r w:rsidRPr="0094434E">
        <w:t xml:space="preserve"> </w:t>
      </w:r>
      <w:r w:rsidRPr="0094434E">
        <w:rPr>
          <w:i/>
        </w:rPr>
        <w:t xml:space="preserve">Id. </w:t>
      </w:r>
    </w:p>
    <w:p w14:paraId="0DAB0A2D" w14:textId="77777777" w:rsidR="0094434E" w:rsidRPr="0094434E" w:rsidRDefault="0094434E" w:rsidP="0094434E">
      <w:pPr>
        <w:ind w:firstLine="360"/>
        <w:jc w:val="both"/>
        <w:rPr>
          <w:i/>
        </w:rPr>
      </w:pPr>
      <w:r w:rsidRPr="0094434E">
        <w:rPr>
          <w:vertAlign w:val="superscript"/>
        </w:rPr>
        <w:t>32</w:t>
      </w:r>
      <w:r w:rsidRPr="0094434E">
        <w:t xml:space="preserve"> </w:t>
      </w:r>
      <w:r w:rsidRPr="0094434E">
        <w:rPr>
          <w:i/>
        </w:rPr>
        <w:t xml:space="preserve">Id. </w:t>
      </w:r>
    </w:p>
    <w:p w14:paraId="75B214A5" w14:textId="77777777" w:rsidR="0094434E" w:rsidRPr="0094434E" w:rsidRDefault="0094434E" w:rsidP="0094434E">
      <w:pPr>
        <w:ind w:firstLine="360"/>
        <w:jc w:val="both"/>
      </w:pPr>
      <w:r w:rsidRPr="0094434E">
        <w:rPr>
          <w:vertAlign w:val="superscript"/>
        </w:rPr>
        <w:t>33</w:t>
      </w:r>
      <w:r w:rsidRPr="0094434E">
        <w:t xml:space="preserve"> </w:t>
      </w:r>
      <w:r w:rsidRPr="0094434E">
        <w:rPr>
          <w:i/>
        </w:rPr>
        <w:t xml:space="preserve">Id. </w:t>
      </w:r>
      <w:r w:rsidRPr="0094434E">
        <w:t>at 17-18.</w:t>
      </w:r>
    </w:p>
    <w:p w14:paraId="4BCEF5E7" w14:textId="77777777" w:rsidR="0094434E" w:rsidRPr="0094434E" w:rsidRDefault="0094434E" w:rsidP="0094434E">
      <w:pPr>
        <w:ind w:firstLine="360"/>
        <w:jc w:val="both"/>
      </w:pPr>
      <w:r w:rsidRPr="0094434E">
        <w:rPr>
          <w:vertAlign w:val="superscript"/>
        </w:rPr>
        <w:t>34</w:t>
      </w:r>
      <w:r w:rsidRPr="0094434E">
        <w:t xml:space="preserve"> </w:t>
      </w:r>
      <w:r w:rsidRPr="0094434E">
        <w:rPr>
          <w:i/>
        </w:rPr>
        <w:t xml:space="preserve">Id. </w:t>
      </w:r>
      <w:r w:rsidRPr="0094434E">
        <w:t>at 17.</w:t>
      </w:r>
    </w:p>
    <w:p w14:paraId="5DBC716A" w14:textId="77777777" w:rsidR="0094434E" w:rsidRPr="0094434E" w:rsidRDefault="0094434E" w:rsidP="0094434E">
      <w:pPr>
        <w:ind w:firstLine="360"/>
        <w:jc w:val="both"/>
      </w:pPr>
      <w:r w:rsidRPr="0094434E">
        <w:rPr>
          <w:vertAlign w:val="superscript"/>
        </w:rPr>
        <w:t>35</w:t>
      </w:r>
      <w:r w:rsidRPr="0094434E">
        <w:t xml:space="preserve"> </w:t>
      </w:r>
      <w:r w:rsidRPr="0094434E">
        <w:rPr>
          <w:i/>
        </w:rPr>
        <w:t xml:space="preserve">Id. </w:t>
      </w:r>
      <w:r w:rsidRPr="0094434E">
        <w:t>at 18.</w:t>
      </w:r>
    </w:p>
    <w:p w14:paraId="2157C8D3" w14:textId="77777777" w:rsidR="0094434E" w:rsidRPr="0094434E" w:rsidRDefault="0094434E" w:rsidP="0094434E">
      <w:pPr>
        <w:ind w:firstLine="360"/>
        <w:jc w:val="both"/>
      </w:pPr>
      <w:r w:rsidRPr="0094434E">
        <w:rPr>
          <w:vertAlign w:val="superscript"/>
        </w:rPr>
        <w:t>36</w:t>
      </w:r>
      <w:r w:rsidRPr="0094434E">
        <w:t xml:space="preserve"> </w:t>
      </w:r>
      <w:r w:rsidRPr="0094434E">
        <w:rPr>
          <w:i/>
        </w:rPr>
        <w:t xml:space="preserve">Id. </w:t>
      </w:r>
      <w:r w:rsidRPr="0094434E">
        <w:t>at 17.</w:t>
      </w:r>
    </w:p>
    <w:p w14:paraId="3FC00DE9" w14:textId="77777777" w:rsidR="0094434E" w:rsidRPr="0094434E" w:rsidRDefault="0094434E" w:rsidP="0094434E">
      <w:pPr>
        <w:ind w:firstLine="360"/>
        <w:jc w:val="both"/>
      </w:pPr>
      <w:r w:rsidRPr="0094434E">
        <w:rPr>
          <w:vertAlign w:val="superscript"/>
        </w:rPr>
        <w:t>37</w:t>
      </w:r>
      <w:r w:rsidRPr="0094434E">
        <w:t xml:space="preserve"> </w:t>
      </w:r>
      <w:r w:rsidRPr="0094434E">
        <w:rPr>
          <w:i/>
        </w:rPr>
        <w:t xml:space="preserve">Id. </w:t>
      </w:r>
      <w:r w:rsidRPr="0094434E">
        <w:t>at 19-20.</w:t>
      </w:r>
    </w:p>
    <w:p w14:paraId="45E27385" w14:textId="77777777" w:rsidR="0094434E" w:rsidRPr="0094434E" w:rsidRDefault="0094434E" w:rsidP="0094434E">
      <w:pPr>
        <w:ind w:firstLine="360"/>
        <w:jc w:val="both"/>
      </w:pPr>
      <w:r w:rsidRPr="0094434E">
        <w:rPr>
          <w:vertAlign w:val="superscript"/>
        </w:rPr>
        <w:t>38</w:t>
      </w:r>
      <w:r w:rsidRPr="0094434E">
        <w:t xml:space="preserve"> </w:t>
      </w:r>
      <w:r w:rsidRPr="0094434E">
        <w:rPr>
          <w:i/>
        </w:rPr>
        <w:t>Ashe v. Swenson</w:t>
      </w:r>
      <w:r w:rsidRPr="0094434E">
        <w:t xml:space="preserve">, 397 U.S. 436 (1970); </w:t>
      </w:r>
      <w:r w:rsidRPr="0094434E">
        <w:rPr>
          <w:i/>
        </w:rPr>
        <w:t>Yeager v. United States</w:t>
      </w:r>
      <w:r w:rsidRPr="0094434E">
        <w:t xml:space="preserve">, 557 U.S. 110 (2009). </w:t>
      </w:r>
    </w:p>
    <w:p w14:paraId="1B7680EC" w14:textId="77777777" w:rsidR="0094434E" w:rsidRPr="0094434E" w:rsidRDefault="0094434E" w:rsidP="0094434E">
      <w:pPr>
        <w:ind w:firstLine="360"/>
        <w:jc w:val="both"/>
        <w:rPr>
          <w:i/>
        </w:rPr>
      </w:pPr>
      <w:r w:rsidRPr="0094434E">
        <w:rPr>
          <w:vertAlign w:val="superscript"/>
        </w:rPr>
        <w:t>39</w:t>
      </w:r>
      <w:r w:rsidRPr="0094434E">
        <w:t xml:space="preserve"> </w:t>
      </w:r>
      <w:r w:rsidRPr="0094434E">
        <w:rPr>
          <w:i/>
          <w:color w:val="1C1C1C"/>
        </w:rPr>
        <w:t>United States v. Bravo-Fernandez</w:t>
      </w:r>
      <w:r w:rsidRPr="0094434E">
        <w:rPr>
          <w:color w:val="1C1C1C"/>
        </w:rPr>
        <w:t xml:space="preserve">, 790 F.3d 41, 45 (quoting </w:t>
      </w:r>
      <w:r w:rsidRPr="0094434E">
        <w:rPr>
          <w:i/>
          <w:color w:val="1C1C1C"/>
        </w:rPr>
        <w:t>Ashe v. Swenson</w:t>
      </w:r>
      <w:r w:rsidRPr="0094434E">
        <w:rPr>
          <w:color w:val="1C1C1C"/>
        </w:rPr>
        <w:t>, 397 U.S. 436, 443 (1970) (defining collateral estoppel).</w:t>
      </w:r>
    </w:p>
    <w:p w14:paraId="2C3C9BC7" w14:textId="77777777" w:rsidR="0094434E" w:rsidRPr="0094434E" w:rsidRDefault="0094434E" w:rsidP="0094434E">
      <w:pPr>
        <w:ind w:firstLine="360"/>
        <w:jc w:val="both"/>
        <w:rPr>
          <w:i/>
        </w:rPr>
      </w:pPr>
      <w:r w:rsidRPr="0094434E">
        <w:rPr>
          <w:vertAlign w:val="superscript"/>
        </w:rPr>
        <w:t>40</w:t>
      </w:r>
      <w:r w:rsidRPr="0094434E">
        <w:t xml:space="preserve"> </w:t>
      </w:r>
      <w:r w:rsidRPr="0094434E">
        <w:rPr>
          <w:i/>
        </w:rPr>
        <w:t>Bravo-Fernandez</w:t>
      </w:r>
      <w:r w:rsidRPr="0094434E">
        <w:t>, 790 F.3d</w:t>
      </w:r>
      <w:r w:rsidRPr="0094434E">
        <w:rPr>
          <w:i/>
        </w:rPr>
        <w:t xml:space="preserve"> </w:t>
      </w:r>
      <w:r w:rsidRPr="0094434E">
        <w:rPr>
          <w:color w:val="1C1C1C"/>
        </w:rPr>
        <w:t xml:space="preserve">at 46 (quoting </w:t>
      </w:r>
      <w:r w:rsidRPr="0094434E">
        <w:rPr>
          <w:i/>
          <w:color w:val="1C1C1C"/>
        </w:rPr>
        <w:t>Ashe</w:t>
      </w:r>
      <w:r w:rsidRPr="0094434E">
        <w:rPr>
          <w:color w:val="1C1C1C"/>
        </w:rPr>
        <w:t xml:space="preserve">, 397 U.S. at 444 (quoting </w:t>
      </w:r>
      <w:proofErr w:type="spellStart"/>
      <w:r w:rsidRPr="0094434E">
        <w:rPr>
          <w:i/>
          <w:color w:val="1C1C1C"/>
        </w:rPr>
        <w:t>Sealfon</w:t>
      </w:r>
      <w:proofErr w:type="spellEnd"/>
      <w:r w:rsidRPr="0094434E">
        <w:rPr>
          <w:i/>
          <w:color w:val="1C1C1C"/>
        </w:rPr>
        <w:t xml:space="preserve"> v. United States</w:t>
      </w:r>
      <w:r w:rsidRPr="0094434E">
        <w:rPr>
          <w:color w:val="1C1C1C"/>
        </w:rPr>
        <w:t>, 332 U.S. 575, 579 (1948)) (describing the collateral estoppel inquiry be set in a “practical frame”).</w:t>
      </w:r>
    </w:p>
    <w:p w14:paraId="2C30E40E" w14:textId="77777777" w:rsidR="0094434E" w:rsidRPr="0094434E" w:rsidRDefault="0094434E" w:rsidP="0094434E">
      <w:pPr>
        <w:ind w:firstLine="360"/>
        <w:jc w:val="both"/>
      </w:pPr>
      <w:r w:rsidRPr="0094434E">
        <w:rPr>
          <w:vertAlign w:val="superscript"/>
        </w:rPr>
        <w:t>41</w:t>
      </w:r>
      <w:r w:rsidRPr="0094434E">
        <w:t xml:space="preserve"> </w:t>
      </w:r>
      <w:r w:rsidRPr="0094434E">
        <w:rPr>
          <w:i/>
          <w:color w:val="1C1C1C"/>
        </w:rPr>
        <w:t>Id.</w:t>
      </w:r>
      <w:r w:rsidRPr="0094434E">
        <w:rPr>
          <w:color w:val="1C1C1C"/>
        </w:rPr>
        <w:t xml:space="preserve"> at 46 (quoting </w:t>
      </w:r>
      <w:r w:rsidRPr="0094434E">
        <w:rPr>
          <w:i/>
          <w:color w:val="1C1C1C"/>
        </w:rPr>
        <w:t>Ashe</w:t>
      </w:r>
      <w:r w:rsidRPr="0094434E">
        <w:rPr>
          <w:color w:val="1C1C1C"/>
        </w:rPr>
        <w:t xml:space="preserve">, 397 U.S. at 445-46) (describing how to apply a “practical frame” to issue preclusion analysis of collateral estoppel). </w:t>
      </w:r>
    </w:p>
    <w:p w14:paraId="6AA9C0DA" w14:textId="77777777" w:rsidR="0094434E" w:rsidRPr="0094434E" w:rsidRDefault="0094434E" w:rsidP="0094434E">
      <w:pPr>
        <w:ind w:firstLine="360"/>
        <w:jc w:val="both"/>
      </w:pPr>
      <w:r w:rsidRPr="0094434E">
        <w:rPr>
          <w:vertAlign w:val="superscript"/>
        </w:rPr>
        <w:t>42</w:t>
      </w:r>
      <w:r w:rsidRPr="0094434E">
        <w:t xml:space="preserve"> </w:t>
      </w:r>
      <w:r w:rsidRPr="0094434E">
        <w:rPr>
          <w:i/>
        </w:rPr>
        <w:t>Bravo-Fernandez</w:t>
      </w:r>
      <w:r w:rsidRPr="0094434E">
        <w:t>, 790 F.3d at 46</w:t>
      </w:r>
      <w:r w:rsidRPr="0094434E">
        <w:rPr>
          <w:i/>
        </w:rPr>
        <w:t xml:space="preserve"> </w:t>
      </w:r>
      <w:r w:rsidRPr="0094434E">
        <w:t xml:space="preserve">(quoting Daniel K. </w:t>
      </w:r>
      <w:proofErr w:type="spellStart"/>
      <w:r w:rsidRPr="0094434E">
        <w:t>Mayers</w:t>
      </w:r>
      <w:proofErr w:type="spellEnd"/>
      <w:r w:rsidRPr="0094434E">
        <w:t xml:space="preserve"> &amp; Fletcher L. Yarbrough, </w:t>
      </w:r>
      <w:proofErr w:type="spellStart"/>
      <w:r w:rsidRPr="0094434E">
        <w:rPr>
          <w:i/>
        </w:rPr>
        <w:t>Bis</w:t>
      </w:r>
      <w:proofErr w:type="spellEnd"/>
      <w:r w:rsidRPr="0094434E">
        <w:rPr>
          <w:i/>
        </w:rPr>
        <w:t xml:space="preserve"> </w:t>
      </w:r>
      <w:proofErr w:type="spellStart"/>
      <w:r w:rsidRPr="0094434E">
        <w:rPr>
          <w:i/>
        </w:rPr>
        <w:t>Verari</w:t>
      </w:r>
      <w:proofErr w:type="spellEnd"/>
      <w:r w:rsidRPr="0094434E">
        <w:rPr>
          <w:i/>
        </w:rPr>
        <w:t>: New Trials and Successive Prosecutions</w:t>
      </w:r>
      <w:r w:rsidRPr="0094434E">
        <w:t xml:space="preserve">, 74 </w:t>
      </w:r>
      <w:proofErr w:type="spellStart"/>
      <w:r w:rsidRPr="0094434E">
        <w:t>Harv</w:t>
      </w:r>
      <w:proofErr w:type="spellEnd"/>
      <w:r w:rsidRPr="0094434E">
        <w:t xml:space="preserve">. L. Rev. 1, 38-39 (1960)). </w:t>
      </w:r>
    </w:p>
    <w:p w14:paraId="0D586E40" w14:textId="77777777" w:rsidR="0094434E" w:rsidRPr="0094434E" w:rsidRDefault="0094434E" w:rsidP="0094434E">
      <w:pPr>
        <w:ind w:firstLine="360"/>
        <w:jc w:val="both"/>
      </w:pPr>
      <w:r w:rsidRPr="0094434E">
        <w:rPr>
          <w:vertAlign w:val="superscript"/>
        </w:rPr>
        <w:t>43</w:t>
      </w:r>
      <w:r w:rsidRPr="0094434E">
        <w:t xml:space="preserve"> </w:t>
      </w:r>
      <w:r w:rsidRPr="0094434E">
        <w:rPr>
          <w:i/>
        </w:rPr>
        <w:t>Bravo-Fernandez</w:t>
      </w:r>
      <w:r w:rsidRPr="0094434E">
        <w:t xml:space="preserve">, 790 F.3d at 46. </w:t>
      </w:r>
    </w:p>
    <w:p w14:paraId="148A34D1" w14:textId="77777777" w:rsidR="0094434E" w:rsidRPr="0094434E" w:rsidRDefault="0094434E" w:rsidP="0094434E">
      <w:pPr>
        <w:ind w:firstLine="360"/>
        <w:jc w:val="both"/>
      </w:pPr>
      <w:r w:rsidRPr="0094434E">
        <w:rPr>
          <w:vertAlign w:val="superscript"/>
        </w:rPr>
        <w:t>44</w:t>
      </w:r>
      <w:r w:rsidRPr="0094434E">
        <w:t xml:space="preserve"> </w:t>
      </w:r>
      <w:r w:rsidRPr="0094434E">
        <w:rPr>
          <w:i/>
        </w:rPr>
        <w:t>Ashe v. Swenson</w:t>
      </w:r>
      <w:r w:rsidRPr="0094434E">
        <w:t xml:space="preserve">, 397 U.S. 436, 444 (1970) (quoting </w:t>
      </w:r>
      <w:proofErr w:type="spellStart"/>
      <w:r w:rsidRPr="0094434E">
        <w:rPr>
          <w:i/>
        </w:rPr>
        <w:t>Sealfon</w:t>
      </w:r>
      <w:proofErr w:type="spellEnd"/>
      <w:r w:rsidRPr="0094434E">
        <w:t xml:space="preserve">, 332 U.S. at 579). </w:t>
      </w:r>
    </w:p>
    <w:p w14:paraId="1518E5CF" w14:textId="77777777" w:rsidR="0094434E" w:rsidRPr="0094434E" w:rsidRDefault="0094434E" w:rsidP="0094434E">
      <w:pPr>
        <w:ind w:firstLine="360"/>
        <w:jc w:val="both"/>
      </w:pPr>
      <w:r w:rsidRPr="0094434E">
        <w:rPr>
          <w:vertAlign w:val="superscript"/>
        </w:rPr>
        <w:t>45</w:t>
      </w:r>
      <w:r w:rsidRPr="0094434E">
        <w:t xml:space="preserve"> </w:t>
      </w:r>
      <w:r w:rsidRPr="0094434E">
        <w:rPr>
          <w:i/>
        </w:rPr>
        <w:t>Ashe</w:t>
      </w:r>
      <w:r w:rsidRPr="0094434E">
        <w:t xml:space="preserve">, 397 U.S. at 438-439. </w:t>
      </w:r>
    </w:p>
    <w:p w14:paraId="7734EC4B" w14:textId="77777777" w:rsidR="0094434E" w:rsidRPr="0094434E" w:rsidRDefault="0094434E" w:rsidP="0094434E">
      <w:pPr>
        <w:ind w:firstLine="360"/>
        <w:jc w:val="both"/>
      </w:pPr>
      <w:r w:rsidRPr="0094434E">
        <w:rPr>
          <w:vertAlign w:val="superscript"/>
        </w:rPr>
        <w:t>46</w:t>
      </w:r>
      <w:r w:rsidRPr="0094434E">
        <w:t xml:space="preserve"> </w:t>
      </w:r>
      <w:r w:rsidRPr="0094434E">
        <w:rPr>
          <w:i/>
        </w:rPr>
        <w:t xml:space="preserve">Id. </w:t>
      </w:r>
      <w:r w:rsidRPr="0094434E">
        <w:t>at 445.</w:t>
      </w:r>
    </w:p>
    <w:p w14:paraId="4459FEFE" w14:textId="77777777" w:rsidR="0094434E" w:rsidRPr="0094434E" w:rsidRDefault="0094434E" w:rsidP="0094434E">
      <w:pPr>
        <w:ind w:firstLine="360"/>
        <w:jc w:val="both"/>
        <w:rPr>
          <w:i/>
        </w:rPr>
      </w:pPr>
      <w:r w:rsidRPr="0094434E">
        <w:rPr>
          <w:vertAlign w:val="superscript"/>
        </w:rPr>
        <w:t>47</w:t>
      </w:r>
      <w:r w:rsidRPr="0094434E">
        <w:t xml:space="preserve"> </w:t>
      </w:r>
      <w:r w:rsidRPr="0094434E">
        <w:rPr>
          <w:i/>
        </w:rPr>
        <w:t xml:space="preserve">Id. </w:t>
      </w:r>
    </w:p>
    <w:p w14:paraId="4B9838F4" w14:textId="77777777" w:rsidR="0094434E" w:rsidRPr="0094434E" w:rsidRDefault="0094434E" w:rsidP="0094434E">
      <w:pPr>
        <w:ind w:firstLine="360"/>
        <w:jc w:val="both"/>
      </w:pPr>
      <w:r w:rsidRPr="0094434E">
        <w:rPr>
          <w:vertAlign w:val="superscript"/>
        </w:rPr>
        <w:t>48</w:t>
      </w:r>
      <w:r w:rsidRPr="0094434E">
        <w:t xml:space="preserve"> </w:t>
      </w:r>
      <w:r w:rsidRPr="0094434E">
        <w:rPr>
          <w:i/>
        </w:rPr>
        <w:t>United States v. Powell</w:t>
      </w:r>
      <w:r w:rsidRPr="0094434E">
        <w:t xml:space="preserve">, 469 U.S. 57 (1984). </w:t>
      </w:r>
    </w:p>
    <w:p w14:paraId="29CDCAF3" w14:textId="77777777" w:rsidR="0094434E" w:rsidRPr="0094434E" w:rsidRDefault="0094434E" w:rsidP="0094434E">
      <w:pPr>
        <w:ind w:firstLine="360"/>
        <w:jc w:val="both"/>
      </w:pPr>
      <w:r w:rsidRPr="0094434E">
        <w:rPr>
          <w:vertAlign w:val="superscript"/>
        </w:rPr>
        <w:t>49</w:t>
      </w:r>
      <w:r w:rsidRPr="0094434E">
        <w:t xml:space="preserve"> </w:t>
      </w:r>
      <w:r w:rsidRPr="0094434E">
        <w:rPr>
          <w:i/>
        </w:rPr>
        <w:t>Powell</w:t>
      </w:r>
      <w:r w:rsidRPr="0094434E">
        <w:t>, 469 U.S. at 69.</w:t>
      </w:r>
    </w:p>
    <w:p w14:paraId="56EF8BBE" w14:textId="77777777" w:rsidR="0094434E" w:rsidRPr="0094434E" w:rsidRDefault="0094434E" w:rsidP="0094434E">
      <w:pPr>
        <w:ind w:firstLine="360"/>
        <w:jc w:val="both"/>
      </w:pPr>
      <w:r w:rsidRPr="0094434E">
        <w:rPr>
          <w:vertAlign w:val="superscript"/>
        </w:rPr>
        <w:t>50</w:t>
      </w:r>
      <w:r w:rsidRPr="0094434E">
        <w:rPr>
          <w:i/>
        </w:rPr>
        <w:t xml:space="preserve"> Bravo-Fernandez</w:t>
      </w:r>
      <w:r w:rsidRPr="0094434E">
        <w:t xml:space="preserve">, 790 F.3d at 43. </w:t>
      </w:r>
    </w:p>
    <w:p w14:paraId="3ED0CC18" w14:textId="77777777" w:rsidR="0094434E" w:rsidRPr="0094434E" w:rsidRDefault="0094434E" w:rsidP="0094434E">
      <w:pPr>
        <w:ind w:firstLine="360"/>
        <w:jc w:val="both"/>
      </w:pPr>
      <w:r w:rsidRPr="0094434E">
        <w:rPr>
          <w:vertAlign w:val="superscript"/>
        </w:rPr>
        <w:t>51</w:t>
      </w:r>
      <w:r w:rsidRPr="0094434E">
        <w:t xml:space="preserve"> </w:t>
      </w:r>
      <w:r w:rsidRPr="0094434E">
        <w:rPr>
          <w:i/>
        </w:rPr>
        <w:t>Id.</w:t>
      </w:r>
      <w:r w:rsidRPr="0094434E">
        <w:t xml:space="preserve"> at 44.</w:t>
      </w:r>
    </w:p>
    <w:p w14:paraId="6B3286EA" w14:textId="77777777" w:rsidR="0094434E" w:rsidRPr="0094434E" w:rsidRDefault="0094434E" w:rsidP="0094434E">
      <w:pPr>
        <w:ind w:firstLine="360"/>
        <w:jc w:val="both"/>
        <w:rPr>
          <w:i/>
        </w:rPr>
      </w:pPr>
      <w:r w:rsidRPr="0094434E">
        <w:rPr>
          <w:vertAlign w:val="superscript"/>
        </w:rPr>
        <w:t>52</w:t>
      </w:r>
      <w:r w:rsidRPr="0094434E">
        <w:t xml:space="preserve"> </w:t>
      </w:r>
      <w:r w:rsidRPr="0094434E">
        <w:rPr>
          <w:i/>
        </w:rPr>
        <w:t xml:space="preserve">Id. </w:t>
      </w:r>
    </w:p>
    <w:p w14:paraId="0C6EA2D1" w14:textId="77777777" w:rsidR="0094434E" w:rsidRPr="0094434E" w:rsidRDefault="0094434E" w:rsidP="0094434E">
      <w:pPr>
        <w:ind w:firstLine="360"/>
        <w:jc w:val="both"/>
        <w:rPr>
          <w:i/>
        </w:rPr>
      </w:pPr>
      <w:r w:rsidRPr="0094434E">
        <w:rPr>
          <w:vertAlign w:val="superscript"/>
        </w:rPr>
        <w:t>53</w:t>
      </w:r>
      <w:r w:rsidRPr="0094434E">
        <w:t xml:space="preserve"> </w:t>
      </w:r>
      <w:r w:rsidRPr="0094434E">
        <w:rPr>
          <w:i/>
        </w:rPr>
        <w:t xml:space="preserve">Id. </w:t>
      </w:r>
      <w:r w:rsidRPr="0094434E">
        <w:t xml:space="preserve">at 48. </w:t>
      </w:r>
      <w:r w:rsidRPr="0094434E">
        <w:rPr>
          <w:vertAlign w:val="superscript"/>
        </w:rPr>
        <w:t xml:space="preserve"> </w:t>
      </w:r>
    </w:p>
    <w:p w14:paraId="0B68DD4F" w14:textId="77777777" w:rsidR="0094434E" w:rsidRPr="0094434E" w:rsidRDefault="0094434E" w:rsidP="0094434E">
      <w:pPr>
        <w:ind w:firstLine="360"/>
        <w:jc w:val="both"/>
        <w:rPr>
          <w:i/>
        </w:rPr>
      </w:pPr>
      <w:r w:rsidRPr="0094434E">
        <w:rPr>
          <w:vertAlign w:val="superscript"/>
        </w:rPr>
        <w:t>54</w:t>
      </w:r>
      <w:r w:rsidRPr="0094434E">
        <w:t xml:space="preserve"> </w:t>
      </w:r>
      <w:r w:rsidRPr="0094434E">
        <w:rPr>
          <w:i/>
        </w:rPr>
        <w:t xml:space="preserve">Id. </w:t>
      </w:r>
    </w:p>
    <w:p w14:paraId="50FEC7B6" w14:textId="77777777" w:rsidR="0094434E" w:rsidRPr="0094434E" w:rsidRDefault="0094434E" w:rsidP="0094434E">
      <w:pPr>
        <w:ind w:firstLine="360"/>
        <w:jc w:val="both"/>
        <w:rPr>
          <w:i/>
        </w:rPr>
      </w:pPr>
      <w:r w:rsidRPr="0094434E">
        <w:rPr>
          <w:vertAlign w:val="superscript"/>
        </w:rPr>
        <w:t>55</w:t>
      </w:r>
      <w:r w:rsidRPr="0094434E">
        <w:t xml:space="preserve"> </w:t>
      </w:r>
      <w:r w:rsidRPr="0094434E">
        <w:rPr>
          <w:i/>
        </w:rPr>
        <w:t xml:space="preserve">Id. </w:t>
      </w:r>
    </w:p>
    <w:p w14:paraId="59406ACE" w14:textId="77777777" w:rsidR="0094434E" w:rsidRPr="0094434E" w:rsidRDefault="0094434E" w:rsidP="0094434E">
      <w:pPr>
        <w:ind w:firstLine="360"/>
        <w:jc w:val="both"/>
        <w:rPr>
          <w:i/>
        </w:rPr>
      </w:pPr>
      <w:r w:rsidRPr="0094434E">
        <w:rPr>
          <w:vertAlign w:val="superscript"/>
        </w:rPr>
        <w:t>56</w:t>
      </w:r>
      <w:r w:rsidRPr="0094434E">
        <w:t xml:space="preserve"> </w:t>
      </w:r>
      <w:r w:rsidRPr="0094434E">
        <w:rPr>
          <w:i/>
        </w:rPr>
        <w:t>Id.</w:t>
      </w:r>
      <w:r w:rsidRPr="0094434E">
        <w:t>at 49.</w:t>
      </w:r>
      <w:r w:rsidRPr="0094434E">
        <w:rPr>
          <w:i/>
        </w:rPr>
        <w:t xml:space="preserve"> </w:t>
      </w:r>
    </w:p>
    <w:p w14:paraId="174E4AF0" w14:textId="77777777" w:rsidR="0094434E" w:rsidRPr="0094434E" w:rsidRDefault="0094434E" w:rsidP="0094434E">
      <w:pPr>
        <w:ind w:firstLine="360"/>
        <w:jc w:val="both"/>
        <w:rPr>
          <w:i/>
        </w:rPr>
      </w:pPr>
      <w:r w:rsidRPr="0094434E">
        <w:rPr>
          <w:vertAlign w:val="superscript"/>
        </w:rPr>
        <w:t>57</w:t>
      </w:r>
      <w:r w:rsidRPr="0094434E">
        <w:t xml:space="preserve"> </w:t>
      </w:r>
      <w:r w:rsidRPr="0094434E">
        <w:rPr>
          <w:i/>
        </w:rPr>
        <w:t>Id.</w:t>
      </w:r>
    </w:p>
    <w:p w14:paraId="319D9475" w14:textId="77777777" w:rsidR="0094434E" w:rsidRPr="0094434E" w:rsidRDefault="0094434E" w:rsidP="0094434E">
      <w:pPr>
        <w:ind w:firstLine="360"/>
        <w:jc w:val="both"/>
      </w:pPr>
      <w:r w:rsidRPr="0094434E">
        <w:rPr>
          <w:vertAlign w:val="superscript"/>
        </w:rPr>
        <w:t>58</w:t>
      </w:r>
      <w:r w:rsidRPr="0094434E">
        <w:t xml:space="preserve"> </w:t>
      </w:r>
      <w:r w:rsidRPr="0094434E">
        <w:rPr>
          <w:i/>
        </w:rPr>
        <w:t xml:space="preserve">Id. </w:t>
      </w:r>
      <w:r w:rsidRPr="0094434E">
        <w:t>at 44-49.</w:t>
      </w:r>
    </w:p>
    <w:p w14:paraId="055519FC" w14:textId="77777777" w:rsidR="0094434E" w:rsidRPr="0094434E" w:rsidRDefault="0094434E" w:rsidP="0094434E">
      <w:pPr>
        <w:ind w:firstLine="360"/>
        <w:jc w:val="both"/>
      </w:pPr>
      <w:r w:rsidRPr="0094434E">
        <w:rPr>
          <w:vertAlign w:val="superscript"/>
        </w:rPr>
        <w:t>59</w:t>
      </w:r>
      <w:r w:rsidRPr="0094434E">
        <w:t xml:space="preserve"> </w:t>
      </w:r>
      <w:r w:rsidRPr="0094434E">
        <w:rPr>
          <w:i/>
        </w:rPr>
        <w:t>Bravo-Fernandez</w:t>
      </w:r>
      <w:r w:rsidRPr="0094434E">
        <w:t>, 790 F.3d</w:t>
      </w:r>
      <w:r w:rsidRPr="0094434E">
        <w:rPr>
          <w:i/>
        </w:rPr>
        <w:t xml:space="preserve">. </w:t>
      </w:r>
      <w:r w:rsidRPr="0094434E">
        <w:t>at 49.</w:t>
      </w:r>
    </w:p>
    <w:p w14:paraId="2CD284FB" w14:textId="77777777" w:rsidR="0094434E" w:rsidRPr="0094434E" w:rsidRDefault="0094434E" w:rsidP="0094434E">
      <w:pPr>
        <w:ind w:firstLine="360"/>
        <w:jc w:val="both"/>
        <w:rPr>
          <w:i/>
        </w:rPr>
      </w:pPr>
      <w:r w:rsidRPr="0094434E">
        <w:rPr>
          <w:vertAlign w:val="superscript"/>
        </w:rPr>
        <w:t>60</w:t>
      </w:r>
      <w:r w:rsidRPr="0094434E">
        <w:t xml:space="preserve"> </w:t>
      </w:r>
      <w:r w:rsidRPr="0094434E">
        <w:rPr>
          <w:i/>
        </w:rPr>
        <w:t xml:space="preserve">Id. </w:t>
      </w:r>
    </w:p>
    <w:p w14:paraId="23446003" w14:textId="77777777" w:rsidR="0094434E" w:rsidRPr="0094434E" w:rsidRDefault="0094434E" w:rsidP="0094434E">
      <w:pPr>
        <w:ind w:firstLine="360"/>
        <w:jc w:val="both"/>
        <w:rPr>
          <w:i/>
        </w:rPr>
      </w:pPr>
      <w:r w:rsidRPr="0094434E">
        <w:rPr>
          <w:vertAlign w:val="superscript"/>
        </w:rPr>
        <w:t>61</w:t>
      </w:r>
      <w:r w:rsidRPr="0094434E">
        <w:t xml:space="preserve"> </w:t>
      </w:r>
      <w:r w:rsidRPr="0094434E">
        <w:rPr>
          <w:i/>
        </w:rPr>
        <w:t xml:space="preserve">Id. </w:t>
      </w:r>
    </w:p>
    <w:p w14:paraId="112409DE" w14:textId="77777777" w:rsidR="0094434E" w:rsidRPr="0094434E" w:rsidRDefault="0094434E" w:rsidP="0094434E">
      <w:pPr>
        <w:ind w:firstLine="360"/>
        <w:jc w:val="both"/>
      </w:pPr>
      <w:r w:rsidRPr="0094434E">
        <w:rPr>
          <w:vertAlign w:val="superscript"/>
        </w:rPr>
        <w:t>62</w:t>
      </w:r>
      <w:r w:rsidRPr="0094434E">
        <w:t xml:space="preserve"> </w:t>
      </w:r>
      <w:r w:rsidRPr="0094434E">
        <w:rPr>
          <w:i/>
        </w:rPr>
        <w:t xml:space="preserve">Id. </w:t>
      </w:r>
      <w:r w:rsidRPr="0094434E">
        <w:t xml:space="preserve">at 50 (citing </w:t>
      </w:r>
      <w:r w:rsidRPr="0094434E">
        <w:rPr>
          <w:i/>
        </w:rPr>
        <w:t>Yeager v. United States</w:t>
      </w:r>
      <w:r w:rsidRPr="0094434E">
        <w:t>, 557 U.S. 110, 121 (2009).</w:t>
      </w:r>
    </w:p>
    <w:p w14:paraId="2E9B34A9" w14:textId="77777777" w:rsidR="0094434E" w:rsidRPr="0094434E" w:rsidRDefault="0094434E" w:rsidP="0094434E">
      <w:pPr>
        <w:ind w:firstLine="360"/>
        <w:jc w:val="both"/>
      </w:pPr>
      <w:r w:rsidRPr="0094434E">
        <w:rPr>
          <w:vertAlign w:val="superscript"/>
        </w:rPr>
        <w:t>63</w:t>
      </w:r>
      <w:r w:rsidRPr="0094434E">
        <w:rPr>
          <w:i/>
        </w:rPr>
        <w:t xml:space="preserve"> Bravo-Fernandez</w:t>
      </w:r>
      <w:r w:rsidRPr="0094434E">
        <w:t xml:space="preserve">, 790 F.3d at 50 (citing </w:t>
      </w:r>
      <w:r w:rsidRPr="0094434E">
        <w:rPr>
          <w:i/>
        </w:rPr>
        <w:t>Ashe v. Swenson</w:t>
      </w:r>
      <w:r w:rsidRPr="0094434E">
        <w:t xml:space="preserve">, 397 U.S. 436, 444 (1970) (quoting </w:t>
      </w:r>
      <w:proofErr w:type="spellStart"/>
      <w:r w:rsidRPr="0094434E">
        <w:rPr>
          <w:i/>
        </w:rPr>
        <w:t>Sealfon</w:t>
      </w:r>
      <w:proofErr w:type="spellEnd"/>
      <w:r w:rsidRPr="0094434E">
        <w:rPr>
          <w:i/>
        </w:rPr>
        <w:t xml:space="preserve"> v. United States</w:t>
      </w:r>
      <w:r w:rsidRPr="0094434E">
        <w:t>, 332 U.S. 575, 579, (1948)) (holding a previous acquittal requires the court to “examine the record of prior proceeding, . . . pleadings, evidence, charge, and other relevant matter, and conclude . . .” what issue the jury founded their decision on to determine what issue was decided).</w:t>
      </w:r>
    </w:p>
    <w:p w14:paraId="133FF4EA" w14:textId="77777777" w:rsidR="0094434E" w:rsidRPr="0094434E" w:rsidRDefault="0094434E" w:rsidP="0094434E">
      <w:pPr>
        <w:ind w:firstLine="360"/>
        <w:jc w:val="both"/>
      </w:pPr>
      <w:r w:rsidRPr="0094434E">
        <w:rPr>
          <w:vertAlign w:val="superscript"/>
        </w:rPr>
        <w:t>64</w:t>
      </w:r>
      <w:r w:rsidRPr="0094434E">
        <w:t xml:space="preserve"> </w:t>
      </w:r>
      <w:r w:rsidRPr="0094434E">
        <w:rPr>
          <w:i/>
        </w:rPr>
        <w:t>Bravo-Fernandez</w:t>
      </w:r>
      <w:r w:rsidRPr="0094434E">
        <w:t>, 790 F.3d at 46-47.</w:t>
      </w:r>
    </w:p>
    <w:p w14:paraId="17A36D5B" w14:textId="77777777" w:rsidR="0094434E" w:rsidRPr="0094434E" w:rsidRDefault="0094434E" w:rsidP="0094434E">
      <w:pPr>
        <w:ind w:firstLine="360"/>
        <w:jc w:val="both"/>
        <w:rPr>
          <w:i/>
        </w:rPr>
      </w:pPr>
      <w:r w:rsidRPr="0094434E">
        <w:rPr>
          <w:vertAlign w:val="superscript"/>
        </w:rPr>
        <w:t>65</w:t>
      </w:r>
      <w:r w:rsidRPr="0094434E">
        <w:t xml:space="preserve"> </w:t>
      </w:r>
      <w:r w:rsidRPr="0094434E">
        <w:rPr>
          <w:i/>
        </w:rPr>
        <w:t xml:space="preserve">Id. </w:t>
      </w:r>
    </w:p>
    <w:p w14:paraId="73A7064F" w14:textId="77777777" w:rsidR="0094434E" w:rsidRPr="0094434E" w:rsidRDefault="0094434E" w:rsidP="0094434E">
      <w:pPr>
        <w:ind w:firstLine="360"/>
        <w:jc w:val="both"/>
        <w:rPr>
          <w:i/>
        </w:rPr>
      </w:pPr>
      <w:r w:rsidRPr="0094434E">
        <w:rPr>
          <w:vertAlign w:val="superscript"/>
        </w:rPr>
        <w:t>66</w:t>
      </w:r>
      <w:r w:rsidRPr="0094434E">
        <w:t xml:space="preserve"> </w:t>
      </w:r>
      <w:r w:rsidRPr="0094434E">
        <w:rPr>
          <w:i/>
        </w:rPr>
        <w:t xml:space="preserve">Id. </w:t>
      </w:r>
      <w:r w:rsidRPr="0094434E">
        <w:t>at 47</w:t>
      </w:r>
      <w:r w:rsidRPr="0094434E">
        <w:rPr>
          <w:i/>
        </w:rPr>
        <w:t xml:space="preserve"> </w:t>
      </w:r>
      <w:r w:rsidRPr="0094434E">
        <w:t xml:space="preserve">(quoting </w:t>
      </w:r>
      <w:r w:rsidRPr="0094434E">
        <w:rPr>
          <w:i/>
        </w:rPr>
        <w:t>Powell</w:t>
      </w:r>
      <w:r w:rsidRPr="0094434E">
        <w:t xml:space="preserve">, 469 U.S. at 64, 68).  </w:t>
      </w:r>
    </w:p>
    <w:p w14:paraId="69AA0520" w14:textId="77777777" w:rsidR="0094434E" w:rsidRPr="0094434E" w:rsidRDefault="0094434E" w:rsidP="0094434E">
      <w:pPr>
        <w:ind w:firstLine="360"/>
        <w:jc w:val="both"/>
        <w:rPr>
          <w:i/>
        </w:rPr>
      </w:pPr>
      <w:r w:rsidRPr="0094434E">
        <w:rPr>
          <w:vertAlign w:val="superscript"/>
        </w:rPr>
        <w:t>67</w:t>
      </w:r>
      <w:r w:rsidRPr="0094434E">
        <w:t xml:space="preserve"> </w:t>
      </w:r>
      <w:r w:rsidRPr="0094434E">
        <w:rPr>
          <w:i/>
        </w:rPr>
        <w:t>Id.</w:t>
      </w:r>
      <w:r w:rsidRPr="0094434E">
        <w:rPr>
          <w:vertAlign w:val="superscript"/>
        </w:rPr>
        <w:t xml:space="preserve"> </w:t>
      </w:r>
    </w:p>
    <w:p w14:paraId="3A93835A" w14:textId="77777777" w:rsidR="0094434E" w:rsidRPr="0094434E" w:rsidRDefault="0094434E" w:rsidP="0094434E">
      <w:pPr>
        <w:ind w:firstLine="360"/>
        <w:jc w:val="both"/>
      </w:pPr>
      <w:r w:rsidRPr="0094434E">
        <w:rPr>
          <w:vertAlign w:val="superscript"/>
        </w:rPr>
        <w:t>68</w:t>
      </w:r>
      <w:r w:rsidRPr="0094434E">
        <w:t xml:space="preserve"> </w:t>
      </w:r>
      <w:r w:rsidRPr="0094434E">
        <w:rPr>
          <w:i/>
        </w:rPr>
        <w:t>Id.</w:t>
      </w:r>
      <w:r w:rsidRPr="0094434E">
        <w:t xml:space="preserve"> at 47-48.</w:t>
      </w:r>
    </w:p>
    <w:p w14:paraId="4822EEA8" w14:textId="77777777" w:rsidR="0094434E" w:rsidRPr="0094434E" w:rsidRDefault="0094434E" w:rsidP="0094434E">
      <w:pPr>
        <w:ind w:firstLine="360"/>
        <w:jc w:val="both"/>
      </w:pPr>
      <w:r w:rsidRPr="0094434E">
        <w:rPr>
          <w:vertAlign w:val="superscript"/>
        </w:rPr>
        <w:t>69</w:t>
      </w:r>
      <w:r w:rsidRPr="0094434E">
        <w:t xml:space="preserve"> </w:t>
      </w:r>
      <w:r w:rsidRPr="0094434E">
        <w:rPr>
          <w:i/>
        </w:rPr>
        <w:t xml:space="preserve">Id. </w:t>
      </w:r>
      <w:r w:rsidRPr="0094434E">
        <w:t>at 48.</w:t>
      </w:r>
    </w:p>
    <w:p w14:paraId="7F2A907F" w14:textId="77777777" w:rsidR="0094434E" w:rsidRPr="0094434E" w:rsidRDefault="0094434E" w:rsidP="0094434E">
      <w:pPr>
        <w:ind w:firstLine="360"/>
        <w:jc w:val="both"/>
        <w:rPr>
          <w:i/>
        </w:rPr>
      </w:pPr>
      <w:r w:rsidRPr="0094434E">
        <w:rPr>
          <w:vertAlign w:val="superscript"/>
        </w:rPr>
        <w:t>70</w:t>
      </w:r>
      <w:r w:rsidRPr="0094434E">
        <w:t xml:space="preserve"> </w:t>
      </w:r>
      <w:r w:rsidRPr="0094434E">
        <w:rPr>
          <w:i/>
        </w:rPr>
        <w:t xml:space="preserve">Id. </w:t>
      </w:r>
    </w:p>
    <w:p w14:paraId="1EF666CD" w14:textId="77777777" w:rsidR="0094434E" w:rsidRPr="0094434E" w:rsidRDefault="0094434E" w:rsidP="0094434E">
      <w:pPr>
        <w:ind w:firstLine="360"/>
        <w:jc w:val="both"/>
        <w:rPr>
          <w:i/>
        </w:rPr>
      </w:pPr>
      <w:r w:rsidRPr="0094434E">
        <w:rPr>
          <w:vertAlign w:val="superscript"/>
        </w:rPr>
        <w:t>71</w:t>
      </w:r>
      <w:r w:rsidRPr="0094434E">
        <w:t xml:space="preserve"> </w:t>
      </w:r>
      <w:r w:rsidRPr="0094434E">
        <w:rPr>
          <w:i/>
        </w:rPr>
        <w:t>Id.</w:t>
      </w:r>
    </w:p>
    <w:p w14:paraId="6DD29A51" w14:textId="77777777" w:rsidR="0094434E" w:rsidRPr="0094434E" w:rsidRDefault="0094434E" w:rsidP="0094434E">
      <w:pPr>
        <w:ind w:firstLine="360"/>
        <w:jc w:val="both"/>
      </w:pPr>
      <w:r w:rsidRPr="0094434E">
        <w:rPr>
          <w:vertAlign w:val="superscript"/>
        </w:rPr>
        <w:t>72</w:t>
      </w:r>
      <w:r w:rsidRPr="0094434E">
        <w:t xml:space="preserve"> </w:t>
      </w:r>
      <w:r w:rsidRPr="0094434E">
        <w:rPr>
          <w:i/>
        </w:rPr>
        <w:t xml:space="preserve">Id. </w:t>
      </w:r>
      <w:r w:rsidRPr="0094434E">
        <w:t>at 49.</w:t>
      </w:r>
    </w:p>
    <w:p w14:paraId="4376F915" w14:textId="77777777" w:rsidR="0094434E" w:rsidRPr="0094434E" w:rsidRDefault="0094434E" w:rsidP="0094434E">
      <w:pPr>
        <w:ind w:firstLine="360"/>
        <w:jc w:val="both"/>
      </w:pPr>
      <w:r w:rsidRPr="0094434E">
        <w:rPr>
          <w:vertAlign w:val="superscript"/>
        </w:rPr>
        <w:t>72</w:t>
      </w:r>
      <w:r w:rsidRPr="0094434E">
        <w:t xml:space="preserve"> </w:t>
      </w:r>
      <w:r w:rsidRPr="0094434E">
        <w:rPr>
          <w:i/>
        </w:rPr>
        <w:t xml:space="preserve">Id. </w:t>
      </w:r>
      <w:r w:rsidRPr="0094434E">
        <w:t>at 49.</w:t>
      </w:r>
    </w:p>
    <w:p w14:paraId="463E6495" w14:textId="77777777" w:rsidR="0094434E" w:rsidRPr="0094434E" w:rsidRDefault="0094434E" w:rsidP="0094434E">
      <w:pPr>
        <w:ind w:firstLine="360"/>
        <w:jc w:val="both"/>
        <w:rPr>
          <w:i/>
        </w:rPr>
      </w:pPr>
      <w:r w:rsidRPr="0094434E">
        <w:rPr>
          <w:vertAlign w:val="superscript"/>
        </w:rPr>
        <w:t>73</w:t>
      </w:r>
      <w:r w:rsidRPr="0094434E">
        <w:t xml:space="preserve"> </w:t>
      </w:r>
      <w:r w:rsidRPr="0094434E">
        <w:rPr>
          <w:i/>
        </w:rPr>
        <w:t>Bravo</w:t>
      </w:r>
      <w:r w:rsidRPr="0094434E">
        <w:t>-</w:t>
      </w:r>
      <w:r w:rsidRPr="0094434E">
        <w:rPr>
          <w:i/>
        </w:rPr>
        <w:t>Fernandez</w:t>
      </w:r>
      <w:r w:rsidRPr="0094434E">
        <w:t xml:space="preserve">, 790 F.3d at 50 (stating a vacated conviction is nullified and is still relevant to </w:t>
      </w:r>
      <w:r w:rsidRPr="0094434E">
        <w:rPr>
          <w:i/>
        </w:rPr>
        <w:t>Ashe</w:t>
      </w:r>
      <w:r w:rsidRPr="0094434E">
        <w:t xml:space="preserve">’s issue preclusion analysis in determining the jury’s foundation for their verdict). </w:t>
      </w:r>
      <w:r w:rsidRPr="0094434E">
        <w:rPr>
          <w:i/>
        </w:rPr>
        <w:t xml:space="preserve"> </w:t>
      </w:r>
    </w:p>
    <w:p w14:paraId="62A58CAE" w14:textId="77777777" w:rsidR="0094434E" w:rsidRPr="0094434E" w:rsidRDefault="0094434E" w:rsidP="0094434E">
      <w:pPr>
        <w:ind w:firstLine="360"/>
        <w:jc w:val="both"/>
      </w:pPr>
      <w:r w:rsidRPr="0094434E">
        <w:rPr>
          <w:vertAlign w:val="superscript"/>
        </w:rPr>
        <w:t>74</w:t>
      </w:r>
      <w:r w:rsidRPr="0094434E">
        <w:t xml:space="preserve"> </w:t>
      </w:r>
      <w:r w:rsidRPr="0094434E">
        <w:rPr>
          <w:i/>
        </w:rPr>
        <w:t>Bravo</w:t>
      </w:r>
      <w:r w:rsidRPr="0094434E">
        <w:t>-</w:t>
      </w:r>
      <w:r w:rsidRPr="0094434E">
        <w:rPr>
          <w:i/>
        </w:rPr>
        <w:t>Fernandez</w:t>
      </w:r>
      <w:r w:rsidRPr="0094434E">
        <w:t>, 790 F.3d at 50.</w:t>
      </w:r>
    </w:p>
    <w:p w14:paraId="0412E647" w14:textId="77777777" w:rsidR="0094434E" w:rsidRPr="0094434E" w:rsidRDefault="0094434E" w:rsidP="0094434E">
      <w:pPr>
        <w:ind w:firstLine="360"/>
        <w:jc w:val="both"/>
      </w:pPr>
      <w:r w:rsidRPr="0094434E">
        <w:rPr>
          <w:vertAlign w:val="superscript"/>
        </w:rPr>
        <w:t>75</w:t>
      </w:r>
      <w:r w:rsidRPr="0094434E">
        <w:t xml:space="preserve"> </w:t>
      </w:r>
      <w:r w:rsidRPr="0094434E">
        <w:rPr>
          <w:i/>
        </w:rPr>
        <w:t xml:space="preserve">Id. </w:t>
      </w:r>
      <w:r w:rsidRPr="0094434E">
        <w:t xml:space="preserve">at 50 (citing </w:t>
      </w:r>
      <w:r w:rsidRPr="0094434E">
        <w:rPr>
          <w:i/>
        </w:rPr>
        <w:t>Fernandez</w:t>
      </w:r>
      <w:r w:rsidRPr="0094434E">
        <w:t xml:space="preserve">, 722 F.3d at 26-27) (emphasis added). </w:t>
      </w:r>
    </w:p>
    <w:p w14:paraId="6418D6F5" w14:textId="77777777" w:rsidR="0094434E" w:rsidRPr="0094434E" w:rsidRDefault="0094434E" w:rsidP="0094434E">
      <w:pPr>
        <w:ind w:firstLine="360"/>
        <w:jc w:val="both"/>
      </w:pPr>
      <w:r w:rsidRPr="0094434E">
        <w:rPr>
          <w:vertAlign w:val="superscript"/>
        </w:rPr>
        <w:t>76</w:t>
      </w:r>
      <w:r w:rsidRPr="0094434E">
        <w:t xml:space="preserve"> </w:t>
      </w:r>
      <w:r w:rsidRPr="0094434E">
        <w:rPr>
          <w:i/>
        </w:rPr>
        <w:t>Bravo-Fernandez</w:t>
      </w:r>
      <w:r w:rsidRPr="0094434E">
        <w:t xml:space="preserve">, 790 F.3d at 50 (citing </w:t>
      </w:r>
      <w:r w:rsidRPr="0094434E">
        <w:rPr>
          <w:i/>
        </w:rPr>
        <w:t>Yeager</w:t>
      </w:r>
      <w:r w:rsidRPr="0094434E">
        <w:t xml:space="preserve">, 557 U.S. 110, 121) (stating hung counts are “not . . . relevant” to the proceeding record and thus a hung count should not conflict with an acquittal). </w:t>
      </w:r>
    </w:p>
    <w:p w14:paraId="27FB5271" w14:textId="77777777" w:rsidR="0094434E" w:rsidRPr="0094434E" w:rsidRDefault="0094434E" w:rsidP="0094434E">
      <w:pPr>
        <w:ind w:firstLine="360"/>
        <w:jc w:val="both"/>
      </w:pPr>
      <w:r w:rsidRPr="0094434E">
        <w:rPr>
          <w:vertAlign w:val="superscript"/>
        </w:rPr>
        <w:t>77</w:t>
      </w:r>
      <w:r w:rsidRPr="0094434E">
        <w:t xml:space="preserve"> </w:t>
      </w:r>
      <w:r w:rsidRPr="0094434E">
        <w:rPr>
          <w:i/>
        </w:rPr>
        <w:t>Bravo-Fernandez</w:t>
      </w:r>
      <w:r w:rsidRPr="0094434E">
        <w:t xml:space="preserve">, 790 F.3d at 50 (quoting </w:t>
      </w:r>
      <w:r w:rsidRPr="0094434E">
        <w:rPr>
          <w:i/>
        </w:rPr>
        <w:t>Yeager</w:t>
      </w:r>
      <w:r w:rsidRPr="0094434E">
        <w:t xml:space="preserve">, 557 U.S. 110, 121-22) (stating </w:t>
      </w:r>
      <w:r w:rsidRPr="0094434E">
        <w:rPr>
          <w:i/>
        </w:rPr>
        <w:t>Yeager</w:t>
      </w:r>
      <w:r w:rsidRPr="0094434E">
        <w:t xml:space="preserve"> accounted for final verdicts as well as non-final, hung counts, verdicts to determine the effects on collateral estoppel and, furthermore, stating hung counts were not truly inconsistent verdicts because hung verdicts represent a jury’s failure to decide, not decision). </w:t>
      </w:r>
    </w:p>
    <w:p w14:paraId="6F967FEE" w14:textId="77777777" w:rsidR="0094434E" w:rsidRPr="0094434E" w:rsidRDefault="0094434E" w:rsidP="0094434E">
      <w:pPr>
        <w:ind w:firstLine="360"/>
        <w:jc w:val="both"/>
      </w:pPr>
      <w:r w:rsidRPr="0094434E">
        <w:rPr>
          <w:vertAlign w:val="superscript"/>
        </w:rPr>
        <w:t>78</w:t>
      </w:r>
      <w:r w:rsidRPr="0094434E">
        <w:t xml:space="preserve"> </w:t>
      </w:r>
      <w:r w:rsidRPr="0094434E">
        <w:rPr>
          <w:i/>
        </w:rPr>
        <w:t>Bravo-Fernandez</w:t>
      </w:r>
      <w:r w:rsidRPr="0094434E">
        <w:t>, 790 F.3d at 50.</w:t>
      </w:r>
    </w:p>
    <w:p w14:paraId="7BB6C737" w14:textId="77777777" w:rsidR="0094434E" w:rsidRPr="0094434E" w:rsidRDefault="0094434E" w:rsidP="0094434E">
      <w:pPr>
        <w:ind w:firstLine="360"/>
        <w:jc w:val="both"/>
      </w:pPr>
      <w:r w:rsidRPr="0094434E">
        <w:rPr>
          <w:vertAlign w:val="superscript"/>
        </w:rPr>
        <w:t>79</w:t>
      </w:r>
      <w:r w:rsidRPr="0094434E">
        <w:t xml:space="preserve"> </w:t>
      </w:r>
      <w:r w:rsidRPr="0094434E">
        <w:rPr>
          <w:i/>
        </w:rPr>
        <w:t xml:space="preserve">Id. </w:t>
      </w:r>
      <w:r w:rsidRPr="0094434E">
        <w:t>at 52.</w:t>
      </w:r>
    </w:p>
    <w:p w14:paraId="2E058FA1" w14:textId="77777777" w:rsidR="0094434E" w:rsidRPr="0094434E" w:rsidRDefault="0094434E" w:rsidP="0094434E">
      <w:pPr>
        <w:ind w:firstLine="360"/>
        <w:jc w:val="both"/>
      </w:pPr>
      <w:r w:rsidRPr="0094434E">
        <w:rPr>
          <w:vertAlign w:val="superscript"/>
        </w:rPr>
        <w:t>80</w:t>
      </w:r>
      <w:r w:rsidRPr="0094434E">
        <w:t xml:space="preserve"> </w:t>
      </w:r>
      <w:r w:rsidRPr="0094434E">
        <w:rPr>
          <w:i/>
        </w:rPr>
        <w:t xml:space="preserve">Id. </w:t>
      </w:r>
      <w:r w:rsidRPr="0094434E">
        <w:t>at 52-53.</w:t>
      </w:r>
    </w:p>
    <w:p w14:paraId="2663D6B3" w14:textId="77777777" w:rsidR="0094434E" w:rsidRPr="0094434E" w:rsidRDefault="0094434E" w:rsidP="0094434E">
      <w:pPr>
        <w:ind w:firstLine="360"/>
        <w:jc w:val="both"/>
        <w:rPr>
          <w:i/>
        </w:rPr>
      </w:pPr>
      <w:r w:rsidRPr="0094434E">
        <w:rPr>
          <w:vertAlign w:val="superscript"/>
        </w:rPr>
        <w:t>81</w:t>
      </w:r>
      <w:r w:rsidRPr="0094434E">
        <w:t xml:space="preserve"> </w:t>
      </w:r>
      <w:r w:rsidRPr="0094434E">
        <w:rPr>
          <w:i/>
        </w:rPr>
        <w:t>Id.</w:t>
      </w:r>
      <w:r w:rsidRPr="0094434E">
        <w:t xml:space="preserve"> at 53. </w:t>
      </w:r>
    </w:p>
    <w:p w14:paraId="5F30683E" w14:textId="77777777" w:rsidR="0094434E" w:rsidRPr="0094434E" w:rsidRDefault="0094434E" w:rsidP="0094434E">
      <w:pPr>
        <w:ind w:firstLine="360"/>
        <w:jc w:val="both"/>
      </w:pPr>
      <w:r w:rsidRPr="0094434E">
        <w:rPr>
          <w:vertAlign w:val="superscript"/>
        </w:rPr>
        <w:t>82</w:t>
      </w:r>
      <w:r w:rsidRPr="0094434E">
        <w:t xml:space="preserve"> </w:t>
      </w:r>
      <w:r w:rsidRPr="0094434E">
        <w:rPr>
          <w:i/>
        </w:rPr>
        <w:t xml:space="preserve">Id. </w:t>
      </w:r>
      <w:r w:rsidRPr="0094434E">
        <w:t>at 54.</w:t>
      </w:r>
    </w:p>
    <w:p w14:paraId="5F1BFCD8" w14:textId="77777777" w:rsidR="0094434E" w:rsidRPr="0094434E" w:rsidRDefault="0094434E" w:rsidP="0094434E">
      <w:pPr>
        <w:ind w:firstLine="360"/>
        <w:jc w:val="both"/>
        <w:rPr>
          <w:i/>
        </w:rPr>
      </w:pPr>
      <w:r w:rsidRPr="0094434E">
        <w:rPr>
          <w:vertAlign w:val="superscript"/>
        </w:rPr>
        <w:t>83</w:t>
      </w:r>
      <w:r w:rsidRPr="0094434E">
        <w:t xml:space="preserve"> </w:t>
      </w:r>
      <w:r w:rsidRPr="0094434E">
        <w:rPr>
          <w:i/>
        </w:rPr>
        <w:t xml:space="preserve">Id. </w:t>
      </w:r>
      <w:r w:rsidRPr="0094434E">
        <w:t>at 60.</w:t>
      </w:r>
      <w:r w:rsidRPr="0094434E">
        <w:rPr>
          <w:i/>
        </w:rPr>
        <w:t xml:space="preserve"> </w:t>
      </w:r>
    </w:p>
    <w:p w14:paraId="4FBFE101" w14:textId="77777777" w:rsidR="0094434E" w:rsidRPr="0094434E" w:rsidRDefault="0094434E" w:rsidP="0094434E">
      <w:pPr>
        <w:ind w:firstLine="360"/>
        <w:jc w:val="both"/>
      </w:pPr>
      <w:r w:rsidRPr="0094434E">
        <w:rPr>
          <w:vertAlign w:val="superscript"/>
        </w:rPr>
        <w:t>84</w:t>
      </w:r>
      <w:r w:rsidRPr="0094434E">
        <w:t xml:space="preserve"> </w:t>
      </w:r>
      <w:r w:rsidRPr="0094434E">
        <w:rPr>
          <w:i/>
        </w:rPr>
        <w:t>Id.</w:t>
      </w:r>
      <w:r w:rsidRPr="0094434E">
        <w:t xml:space="preserve"> (quoting </w:t>
      </w:r>
      <w:r w:rsidRPr="0094434E">
        <w:rPr>
          <w:i/>
        </w:rPr>
        <w:t>Evans v. Michigan</w:t>
      </w:r>
      <w:r w:rsidRPr="0094434E">
        <w:t xml:space="preserve">, 133 </w:t>
      </w:r>
      <w:proofErr w:type="spellStart"/>
      <w:r w:rsidRPr="0094434E">
        <w:t>S.Ct</w:t>
      </w:r>
      <w:proofErr w:type="spellEnd"/>
      <w:r w:rsidRPr="0094434E">
        <w:t xml:space="preserve">. 1069, 1074 (2013)). </w:t>
      </w:r>
    </w:p>
    <w:p w14:paraId="0F27CAD8" w14:textId="77777777" w:rsidR="0094434E" w:rsidRPr="0094434E" w:rsidRDefault="0094434E" w:rsidP="0094434E">
      <w:pPr>
        <w:ind w:firstLine="360"/>
        <w:jc w:val="both"/>
      </w:pPr>
      <w:r w:rsidRPr="0094434E">
        <w:rPr>
          <w:vertAlign w:val="superscript"/>
        </w:rPr>
        <w:t>85</w:t>
      </w:r>
      <w:r w:rsidRPr="0094434E">
        <w:t xml:space="preserve"> </w:t>
      </w:r>
      <w:r w:rsidRPr="0094434E">
        <w:rPr>
          <w:i/>
        </w:rPr>
        <w:t xml:space="preserve">Id. </w:t>
      </w:r>
      <w:r w:rsidRPr="0094434E">
        <w:t xml:space="preserve">(quoting </w:t>
      </w:r>
      <w:r w:rsidRPr="0094434E">
        <w:rPr>
          <w:i/>
        </w:rPr>
        <w:t>United States v. Martin Linen Supply Co.</w:t>
      </w:r>
      <w:r w:rsidRPr="0094434E">
        <w:t xml:space="preserve">, 430 U.S. 563, 571 (1977)). </w:t>
      </w:r>
    </w:p>
    <w:p w14:paraId="049D6E07" w14:textId="77777777" w:rsidR="0094434E" w:rsidRPr="0094434E" w:rsidRDefault="0094434E" w:rsidP="0094434E">
      <w:pPr>
        <w:ind w:firstLine="360"/>
        <w:jc w:val="both"/>
      </w:pPr>
      <w:r w:rsidRPr="0094434E">
        <w:rPr>
          <w:vertAlign w:val="superscript"/>
        </w:rPr>
        <w:t>86</w:t>
      </w:r>
      <w:r w:rsidRPr="0094434E">
        <w:t xml:space="preserve"> </w:t>
      </w:r>
      <w:r w:rsidRPr="0094434E">
        <w:rPr>
          <w:i/>
        </w:rPr>
        <w:t>Id.</w:t>
      </w:r>
      <w:r w:rsidRPr="0094434E">
        <w:t>;</w:t>
      </w:r>
      <w:r w:rsidRPr="0094434E">
        <w:rPr>
          <w:i/>
        </w:rPr>
        <w:t xml:space="preserve"> see Evans v. Michigan</w:t>
      </w:r>
      <w:r w:rsidRPr="0094434E">
        <w:t xml:space="preserve">, 133 </w:t>
      </w:r>
      <w:proofErr w:type="spellStart"/>
      <w:r w:rsidRPr="0094434E">
        <w:t>S.Ct</w:t>
      </w:r>
      <w:proofErr w:type="spellEnd"/>
      <w:r w:rsidRPr="0094434E">
        <w:t xml:space="preserve">. 1069, 1077 (2013) (quoting </w:t>
      </w:r>
      <w:r w:rsidRPr="0094434E">
        <w:rPr>
          <w:i/>
        </w:rPr>
        <w:t>United States v. Scott</w:t>
      </w:r>
      <w:r w:rsidRPr="0094434E">
        <w:t xml:space="preserve">, 437 U.S. 82, 98 (1978)). </w:t>
      </w:r>
    </w:p>
    <w:p w14:paraId="2692C6CE" w14:textId="77777777" w:rsidR="0094434E" w:rsidRPr="0094434E" w:rsidRDefault="0094434E" w:rsidP="0094434E">
      <w:pPr>
        <w:ind w:firstLine="360"/>
        <w:jc w:val="both"/>
      </w:pPr>
      <w:r w:rsidRPr="0094434E">
        <w:rPr>
          <w:vertAlign w:val="superscript"/>
        </w:rPr>
        <w:t>87</w:t>
      </w:r>
      <w:r w:rsidRPr="0094434E">
        <w:t xml:space="preserve"> </w:t>
      </w:r>
      <w:r w:rsidRPr="0094434E">
        <w:rPr>
          <w:i/>
        </w:rPr>
        <w:t>Bravo-Fernandez</w:t>
      </w:r>
      <w:r w:rsidRPr="0094434E">
        <w:t xml:space="preserve">, 790 F.3d at 61. </w:t>
      </w:r>
    </w:p>
    <w:p w14:paraId="67E19284" w14:textId="77777777" w:rsidR="0094434E" w:rsidRPr="0094434E" w:rsidRDefault="0094434E" w:rsidP="0094434E">
      <w:pPr>
        <w:ind w:firstLine="360"/>
        <w:jc w:val="both"/>
        <w:rPr>
          <w:i/>
        </w:rPr>
      </w:pPr>
      <w:r w:rsidRPr="0094434E">
        <w:rPr>
          <w:vertAlign w:val="superscript"/>
        </w:rPr>
        <w:t>88</w:t>
      </w:r>
      <w:r w:rsidRPr="0094434E">
        <w:t xml:space="preserve"> </w:t>
      </w:r>
      <w:r w:rsidRPr="0094434E">
        <w:rPr>
          <w:i/>
        </w:rPr>
        <w:t xml:space="preserve">Id. </w:t>
      </w:r>
    </w:p>
    <w:p w14:paraId="53BECF4F" w14:textId="77777777" w:rsidR="0094434E" w:rsidRPr="0094434E" w:rsidRDefault="0094434E" w:rsidP="0094434E">
      <w:pPr>
        <w:ind w:firstLine="360"/>
        <w:jc w:val="both"/>
      </w:pPr>
      <w:r w:rsidRPr="0094434E">
        <w:rPr>
          <w:vertAlign w:val="superscript"/>
        </w:rPr>
        <w:t>89</w:t>
      </w:r>
      <w:r w:rsidRPr="0094434E">
        <w:t xml:space="preserve"> </w:t>
      </w:r>
      <w:r w:rsidRPr="0094434E">
        <w:rPr>
          <w:i/>
        </w:rPr>
        <w:t>See Block-burger v. United States</w:t>
      </w:r>
      <w:r w:rsidRPr="0094434E">
        <w:t xml:space="preserve">, 52 </w:t>
      </w:r>
      <w:proofErr w:type="spellStart"/>
      <w:r w:rsidRPr="0094434E">
        <w:t>S.Ct</w:t>
      </w:r>
      <w:proofErr w:type="spellEnd"/>
      <w:r w:rsidRPr="0094434E">
        <w:t xml:space="preserve"> 180, 182 (1932) (defining two offenses as the “same offense” when each violation of two distinct statutory provisions, in the same act or transaction, requires proof of additional facts); </w:t>
      </w:r>
      <w:r w:rsidRPr="0094434E">
        <w:rPr>
          <w:i/>
        </w:rPr>
        <w:t>see also</w:t>
      </w:r>
      <w:r w:rsidRPr="0094434E">
        <w:t xml:space="preserve"> </w:t>
      </w:r>
      <w:r w:rsidRPr="0094434E">
        <w:rPr>
          <w:i/>
        </w:rPr>
        <w:t>Illinois v. Vitale</w:t>
      </w:r>
      <w:r w:rsidRPr="0094434E">
        <w:t xml:space="preserve">, 100 </w:t>
      </w:r>
      <w:proofErr w:type="spellStart"/>
      <w:r w:rsidRPr="0094434E">
        <w:t>S.Ct</w:t>
      </w:r>
      <w:proofErr w:type="spellEnd"/>
      <w:r w:rsidRPr="0094434E">
        <w:t xml:space="preserve">. 2260, 2265-67 (1980) (suggesting that if all elements of offense had been proved as ultimate facts in a subsequent prosecution, the two are considered the same offense and the second is precluded). </w:t>
      </w:r>
    </w:p>
    <w:p w14:paraId="5A23DF1E" w14:textId="77777777" w:rsidR="0094434E" w:rsidRPr="0094434E" w:rsidRDefault="0094434E" w:rsidP="0094434E">
      <w:pPr>
        <w:ind w:firstLine="360"/>
        <w:jc w:val="both"/>
        <w:rPr>
          <w:i/>
        </w:rPr>
      </w:pPr>
      <w:r w:rsidRPr="0094434E">
        <w:rPr>
          <w:vertAlign w:val="superscript"/>
        </w:rPr>
        <w:t>90</w:t>
      </w:r>
      <w:r w:rsidRPr="0094434E">
        <w:t xml:space="preserve"> Alex </w:t>
      </w:r>
      <w:proofErr w:type="spellStart"/>
      <w:r w:rsidRPr="0094434E">
        <w:t>Kozinski</w:t>
      </w:r>
      <w:proofErr w:type="spellEnd"/>
      <w:r w:rsidRPr="0094434E">
        <w:t xml:space="preserve">, </w:t>
      </w:r>
      <w:r w:rsidRPr="0094434E">
        <w:rPr>
          <w:i/>
        </w:rPr>
        <w:t>Double Jeopardy</w:t>
      </w:r>
      <w:r w:rsidRPr="0094434E">
        <w:t>, 44 Geo. L.J. Rev. Crim. Proc. 522, 545 (2015).</w:t>
      </w:r>
    </w:p>
    <w:p w14:paraId="2D335E70" w14:textId="77777777" w:rsidR="0094434E" w:rsidRPr="0094434E" w:rsidRDefault="0094434E" w:rsidP="0094434E">
      <w:pPr>
        <w:ind w:firstLine="360"/>
        <w:jc w:val="both"/>
      </w:pPr>
      <w:r w:rsidRPr="0094434E">
        <w:rPr>
          <w:vertAlign w:val="superscript"/>
        </w:rPr>
        <w:t>91</w:t>
      </w:r>
      <w:r w:rsidRPr="0094434E">
        <w:t xml:space="preserve"> </w:t>
      </w:r>
      <w:r w:rsidRPr="0094434E">
        <w:rPr>
          <w:i/>
        </w:rPr>
        <w:t xml:space="preserve">Id. </w:t>
      </w:r>
      <w:r w:rsidRPr="0094434E">
        <w:t>at 546.</w:t>
      </w:r>
    </w:p>
    <w:p w14:paraId="26BAAEAE" w14:textId="77777777" w:rsidR="0094434E" w:rsidRPr="0094434E" w:rsidRDefault="0094434E" w:rsidP="0094434E">
      <w:pPr>
        <w:ind w:firstLine="360"/>
        <w:jc w:val="both"/>
      </w:pPr>
      <w:r w:rsidRPr="0094434E">
        <w:rPr>
          <w:vertAlign w:val="superscript"/>
        </w:rPr>
        <w:t>92</w:t>
      </w:r>
      <w:r w:rsidRPr="0094434E">
        <w:t xml:space="preserve"> </w:t>
      </w:r>
      <w:r w:rsidRPr="0094434E">
        <w:rPr>
          <w:i/>
        </w:rPr>
        <w:t>United States v. Prince</w:t>
      </w:r>
      <w:r w:rsidRPr="0094434E">
        <w:t xml:space="preserve">, 750 F.2d 363, 366 (5th Cir. 1985) (quoting </w:t>
      </w:r>
      <w:r w:rsidRPr="0094434E">
        <w:rPr>
          <w:i/>
        </w:rPr>
        <w:t>Ashe v. Swenson</w:t>
      </w:r>
      <w:r w:rsidRPr="0094434E">
        <w:t>, 397 U.S. at 446).</w:t>
      </w:r>
    </w:p>
    <w:p w14:paraId="62CC0155" w14:textId="77777777" w:rsidR="0094434E" w:rsidRPr="0094434E" w:rsidRDefault="0094434E" w:rsidP="0094434E">
      <w:pPr>
        <w:ind w:firstLine="360"/>
        <w:jc w:val="both"/>
        <w:rPr>
          <w:i/>
        </w:rPr>
      </w:pPr>
      <w:r w:rsidRPr="0094434E">
        <w:rPr>
          <w:vertAlign w:val="superscript"/>
        </w:rPr>
        <w:t>93</w:t>
      </w:r>
      <w:r w:rsidRPr="0094434E">
        <w:t xml:space="preserve"> </w:t>
      </w:r>
      <w:r w:rsidRPr="0094434E">
        <w:rPr>
          <w:i/>
        </w:rPr>
        <w:t>Id.</w:t>
      </w:r>
    </w:p>
    <w:p w14:paraId="475BF597" w14:textId="77777777" w:rsidR="0094434E" w:rsidRPr="0094434E" w:rsidRDefault="0094434E" w:rsidP="0094434E">
      <w:pPr>
        <w:ind w:firstLine="360"/>
        <w:jc w:val="both"/>
        <w:rPr>
          <w:highlight w:val="yellow"/>
        </w:rPr>
      </w:pPr>
      <w:r w:rsidRPr="0094434E">
        <w:rPr>
          <w:vertAlign w:val="superscript"/>
        </w:rPr>
        <w:t>94</w:t>
      </w:r>
      <w:r w:rsidRPr="0094434E">
        <w:t xml:space="preserve"> De Paul College of Law, </w:t>
      </w:r>
      <w:r w:rsidRPr="0094434E">
        <w:rPr>
          <w:i/>
        </w:rPr>
        <w:t xml:space="preserve">Criminal Law – Multiple Trials for a Single Transaction Involving Several Offenses Held Not </w:t>
      </w:r>
      <w:proofErr w:type="spellStart"/>
      <w:r w:rsidRPr="0094434E">
        <w:rPr>
          <w:i/>
        </w:rPr>
        <w:t>Violative</w:t>
      </w:r>
      <w:proofErr w:type="spellEnd"/>
      <w:r w:rsidRPr="0094434E">
        <w:rPr>
          <w:i/>
        </w:rPr>
        <w:t xml:space="preserve"> of Due Process</w:t>
      </w:r>
      <w:r w:rsidRPr="0094434E">
        <w:t xml:space="preserve">, 8 De Paul L. Rev. J. 104, 102-06 (1958), </w:t>
      </w:r>
      <w:r w:rsidRPr="0094434E">
        <w:rPr>
          <w:rFonts w:ascii="ArnoPro" w:hAnsi="ArnoPro"/>
        </w:rPr>
        <w:t>http://via.library.depaul.edu/law-review/vol8/iss1/11;</w:t>
      </w:r>
      <w:r w:rsidRPr="0094434E">
        <w:rPr>
          <w:i/>
        </w:rPr>
        <w:t xml:space="preserve"> see</w:t>
      </w:r>
      <w:r w:rsidRPr="0094434E">
        <w:t xml:space="preserve"> </w:t>
      </w:r>
      <w:r w:rsidRPr="0094434E">
        <w:rPr>
          <w:i/>
        </w:rPr>
        <w:t>Rex</w:t>
      </w:r>
      <w:r w:rsidRPr="0094434E">
        <w:t xml:space="preserve"> </w:t>
      </w:r>
      <w:r w:rsidRPr="0094434E">
        <w:rPr>
          <w:i/>
        </w:rPr>
        <w:t xml:space="preserve">v. </w:t>
      </w:r>
      <w:proofErr w:type="spellStart"/>
      <w:r w:rsidRPr="0094434E">
        <w:rPr>
          <w:i/>
        </w:rPr>
        <w:t>Vandercomb</w:t>
      </w:r>
      <w:proofErr w:type="spellEnd"/>
      <w:r w:rsidRPr="0094434E">
        <w:rPr>
          <w:i/>
        </w:rPr>
        <w:t xml:space="preserve"> and Abbott</w:t>
      </w:r>
      <w:r w:rsidRPr="0094434E">
        <w:t>, 2 Leach 708, 168 Eng. Rep. 455 (1796).</w:t>
      </w:r>
    </w:p>
    <w:p w14:paraId="731E179B" w14:textId="77E9ADF4" w:rsidR="0094434E" w:rsidRPr="000F5FD5" w:rsidRDefault="0094434E" w:rsidP="000F5FD5">
      <w:pPr>
        <w:ind w:firstLine="360"/>
        <w:jc w:val="both"/>
      </w:pPr>
      <w:r w:rsidRPr="0094434E">
        <w:rPr>
          <w:vertAlign w:val="superscript"/>
        </w:rPr>
        <w:t>95</w:t>
      </w:r>
      <w:r w:rsidRPr="0094434E">
        <w:t xml:space="preserve"> </w:t>
      </w:r>
      <w:r w:rsidRPr="0094434E">
        <w:rPr>
          <w:i/>
        </w:rPr>
        <w:t>Ashe v. Swenson</w:t>
      </w:r>
      <w:r w:rsidRPr="0094434E">
        <w:t xml:space="preserve">, 397 U.S. at 451 (concurring opinion quoting </w:t>
      </w:r>
      <w:r w:rsidRPr="0094434E">
        <w:rPr>
          <w:i/>
        </w:rPr>
        <w:t xml:space="preserve">The King v. </w:t>
      </w:r>
      <w:proofErr w:type="spellStart"/>
      <w:r w:rsidRPr="0094434E">
        <w:rPr>
          <w:i/>
        </w:rPr>
        <w:t>Vandercomb</w:t>
      </w:r>
      <w:proofErr w:type="spellEnd"/>
      <w:r w:rsidRPr="0094434E">
        <w:t xml:space="preserve">, 2 Leach 708, 720, 168 Eng. Rep. 455, 461 (Crown 1796)). </w:t>
      </w:r>
    </w:p>
    <w:p w14:paraId="647C9343" w14:textId="77777777" w:rsidR="0094434E" w:rsidRPr="0094434E" w:rsidRDefault="0094434E" w:rsidP="0094434E">
      <w:pPr>
        <w:ind w:firstLine="360"/>
        <w:jc w:val="both"/>
        <w:rPr>
          <w:i/>
        </w:rPr>
      </w:pPr>
      <w:r w:rsidRPr="0094434E">
        <w:rPr>
          <w:vertAlign w:val="superscript"/>
        </w:rPr>
        <w:t>96</w:t>
      </w:r>
      <w:r w:rsidRPr="0094434E">
        <w:t xml:space="preserve"> </w:t>
      </w:r>
      <w:r w:rsidRPr="0094434E">
        <w:rPr>
          <w:i/>
        </w:rPr>
        <w:t>Hoag v. State of N.J.</w:t>
      </w:r>
      <w:r w:rsidRPr="0094434E">
        <w:t xml:space="preserve">, 356 U.S. 464, 466 (U.S. 1958).  </w:t>
      </w:r>
    </w:p>
    <w:p w14:paraId="1A2A5838" w14:textId="77777777" w:rsidR="0094434E" w:rsidRPr="0094434E" w:rsidRDefault="0094434E" w:rsidP="0094434E">
      <w:pPr>
        <w:ind w:firstLine="360"/>
        <w:jc w:val="both"/>
        <w:rPr>
          <w:i/>
        </w:rPr>
      </w:pPr>
      <w:r w:rsidRPr="0094434E">
        <w:rPr>
          <w:vertAlign w:val="superscript"/>
        </w:rPr>
        <w:t>97</w:t>
      </w:r>
      <w:r w:rsidRPr="0094434E">
        <w:t xml:space="preserve"> </w:t>
      </w:r>
      <w:r w:rsidRPr="0094434E">
        <w:rPr>
          <w:i/>
        </w:rPr>
        <w:t>Id.</w:t>
      </w:r>
    </w:p>
    <w:p w14:paraId="65871EE1" w14:textId="77777777" w:rsidR="0094434E" w:rsidRPr="0094434E" w:rsidRDefault="0094434E" w:rsidP="0094434E">
      <w:pPr>
        <w:ind w:firstLine="360"/>
        <w:jc w:val="both"/>
      </w:pPr>
      <w:r w:rsidRPr="0094434E">
        <w:rPr>
          <w:vertAlign w:val="superscript"/>
        </w:rPr>
        <w:t>98</w:t>
      </w:r>
      <w:r w:rsidRPr="0094434E">
        <w:t xml:space="preserve"> </w:t>
      </w:r>
      <w:r w:rsidRPr="0094434E">
        <w:rPr>
          <w:i/>
        </w:rPr>
        <w:t xml:space="preserve">Id. </w:t>
      </w:r>
      <w:r w:rsidRPr="0094434E">
        <w:t>at 467.</w:t>
      </w:r>
    </w:p>
    <w:p w14:paraId="0BB882F8" w14:textId="77777777" w:rsidR="0094434E" w:rsidRPr="0094434E" w:rsidRDefault="0094434E" w:rsidP="0094434E">
      <w:pPr>
        <w:ind w:firstLine="360"/>
        <w:jc w:val="both"/>
      </w:pPr>
      <w:r w:rsidRPr="0094434E">
        <w:rPr>
          <w:vertAlign w:val="superscript"/>
        </w:rPr>
        <w:t>99</w:t>
      </w:r>
      <w:r w:rsidRPr="0094434E">
        <w:t xml:space="preserve"> </w:t>
      </w:r>
      <w:r w:rsidRPr="0094434E">
        <w:rPr>
          <w:i/>
        </w:rPr>
        <w:t xml:space="preserve">Id. </w:t>
      </w:r>
      <w:r w:rsidRPr="0094434E">
        <w:t>at 469.</w:t>
      </w:r>
    </w:p>
    <w:p w14:paraId="408526C8" w14:textId="77777777" w:rsidR="0094434E" w:rsidRPr="0094434E" w:rsidRDefault="0094434E" w:rsidP="0094434E">
      <w:pPr>
        <w:ind w:firstLine="360"/>
        <w:jc w:val="both"/>
        <w:rPr>
          <w:i/>
        </w:rPr>
      </w:pPr>
      <w:r w:rsidRPr="0094434E">
        <w:rPr>
          <w:vertAlign w:val="superscript"/>
        </w:rPr>
        <w:t>100</w:t>
      </w:r>
      <w:r w:rsidRPr="0094434E">
        <w:t xml:space="preserve"> </w:t>
      </w:r>
      <w:r w:rsidRPr="0094434E">
        <w:rPr>
          <w:i/>
        </w:rPr>
        <w:t>Id.</w:t>
      </w:r>
    </w:p>
    <w:p w14:paraId="4F2D9375" w14:textId="77777777" w:rsidR="0094434E" w:rsidRPr="0094434E" w:rsidRDefault="0094434E" w:rsidP="0094434E">
      <w:pPr>
        <w:ind w:firstLine="360"/>
        <w:jc w:val="both"/>
      </w:pPr>
      <w:r w:rsidRPr="0094434E">
        <w:rPr>
          <w:vertAlign w:val="superscript"/>
        </w:rPr>
        <w:t>101</w:t>
      </w:r>
      <w:r w:rsidRPr="0094434E">
        <w:t xml:space="preserve"> </w:t>
      </w:r>
      <w:r w:rsidRPr="0094434E">
        <w:rPr>
          <w:i/>
        </w:rPr>
        <w:t xml:space="preserve">Id. </w:t>
      </w:r>
      <w:r w:rsidRPr="0094434E">
        <w:t>at 474</w:t>
      </w:r>
      <w:r w:rsidRPr="0094434E">
        <w:rPr>
          <w:i/>
        </w:rPr>
        <w:t xml:space="preserve"> </w:t>
      </w:r>
      <w:r w:rsidRPr="0094434E">
        <w:t>(emphasis added).</w:t>
      </w:r>
    </w:p>
    <w:p w14:paraId="227ED050" w14:textId="77777777" w:rsidR="0094434E" w:rsidRPr="0094434E" w:rsidRDefault="0094434E" w:rsidP="0094434E">
      <w:pPr>
        <w:ind w:firstLine="360"/>
        <w:jc w:val="both"/>
      </w:pPr>
      <w:r w:rsidRPr="0094434E">
        <w:rPr>
          <w:vertAlign w:val="superscript"/>
        </w:rPr>
        <w:t>102</w:t>
      </w:r>
      <w:r w:rsidRPr="0094434E">
        <w:t xml:space="preserve"> </w:t>
      </w:r>
      <w:r w:rsidRPr="0094434E">
        <w:rPr>
          <w:i/>
        </w:rPr>
        <w:t>Id.</w:t>
      </w:r>
      <w:r w:rsidRPr="0094434E">
        <w:t xml:space="preserve"> at 479.</w:t>
      </w:r>
    </w:p>
    <w:p w14:paraId="760A5A9C" w14:textId="77777777" w:rsidR="0094434E" w:rsidRPr="0094434E" w:rsidRDefault="0094434E" w:rsidP="0094434E">
      <w:pPr>
        <w:ind w:firstLine="360"/>
        <w:jc w:val="both"/>
      </w:pPr>
      <w:r w:rsidRPr="0094434E">
        <w:rPr>
          <w:vertAlign w:val="superscript"/>
        </w:rPr>
        <w:t>103</w:t>
      </w:r>
      <w:r w:rsidRPr="0094434E">
        <w:t xml:space="preserve"> </w:t>
      </w:r>
      <w:r w:rsidRPr="0094434E">
        <w:rPr>
          <w:i/>
        </w:rPr>
        <w:t>Ashe v. Swenson</w:t>
      </w:r>
      <w:r w:rsidRPr="0094434E">
        <w:t xml:space="preserve">, 397 U.S. at 451. </w:t>
      </w:r>
    </w:p>
    <w:p w14:paraId="064312CE" w14:textId="77777777" w:rsidR="0094434E" w:rsidRPr="0094434E" w:rsidRDefault="0094434E" w:rsidP="0094434E">
      <w:pPr>
        <w:ind w:firstLine="360"/>
        <w:jc w:val="both"/>
      </w:pPr>
      <w:r w:rsidRPr="0094434E">
        <w:rPr>
          <w:vertAlign w:val="superscript"/>
        </w:rPr>
        <w:t>104</w:t>
      </w:r>
      <w:r w:rsidRPr="0094434E">
        <w:t xml:space="preserve"> </w:t>
      </w:r>
      <w:r w:rsidRPr="0094434E">
        <w:rPr>
          <w:i/>
        </w:rPr>
        <w:t>United States v. Aguilar-</w:t>
      </w:r>
      <w:proofErr w:type="spellStart"/>
      <w:r w:rsidRPr="0094434E">
        <w:rPr>
          <w:i/>
        </w:rPr>
        <w:t>Aranceta</w:t>
      </w:r>
      <w:proofErr w:type="spellEnd"/>
      <w:r w:rsidRPr="0094434E">
        <w:t xml:space="preserve">, 957 F.2d 18, 23 (1992) (referencing) </w:t>
      </w:r>
      <w:r w:rsidRPr="0094434E">
        <w:rPr>
          <w:i/>
        </w:rPr>
        <w:t>Grady v. Corbin</w:t>
      </w:r>
      <w:r w:rsidRPr="0094434E">
        <w:t xml:space="preserve">, 495 U.S. 508 (1990)); </w:t>
      </w:r>
      <w:r w:rsidRPr="0094434E">
        <w:rPr>
          <w:i/>
        </w:rPr>
        <w:t>Grady v. Corbin</w:t>
      </w:r>
      <w:r w:rsidRPr="0094434E">
        <w:t xml:space="preserve">, 495 U.S. 508, 522 (1990) (stating a mere alteration in evidence offered to prove the same conduct does not preclude the effects of double jeopardy and collateral estoppel. </w:t>
      </w:r>
      <w:r w:rsidRPr="0094434E">
        <w:rPr>
          <w:i/>
        </w:rPr>
        <w:t>Compare</w:t>
      </w:r>
      <w:r w:rsidRPr="0094434E">
        <w:t xml:space="preserve"> </w:t>
      </w:r>
      <w:r w:rsidRPr="0094434E">
        <w:rPr>
          <w:i/>
        </w:rPr>
        <w:t>to</w:t>
      </w:r>
      <w:r w:rsidRPr="0094434E">
        <w:t xml:space="preserve"> </w:t>
      </w:r>
      <w:r w:rsidRPr="0094434E">
        <w:rPr>
          <w:i/>
        </w:rPr>
        <w:t>Grady v. Corbin</w:t>
      </w:r>
      <w:r w:rsidRPr="0094434E">
        <w:t xml:space="preserve">, 495 U.S. at 526 (Scalia, J. dissenting) (disapproving the same conduct test for double jeopardy at *526); </w:t>
      </w:r>
      <w:r w:rsidRPr="0094434E">
        <w:rPr>
          <w:i/>
        </w:rPr>
        <w:t>Dowling v. United States</w:t>
      </w:r>
      <w:r w:rsidRPr="0094434E">
        <w:t xml:space="preserve">, 493 U.S. 342 (1990). </w:t>
      </w:r>
    </w:p>
    <w:p w14:paraId="56350D53" w14:textId="77777777" w:rsidR="0094434E" w:rsidRPr="0094434E" w:rsidRDefault="0094434E" w:rsidP="0094434E">
      <w:pPr>
        <w:ind w:firstLine="360"/>
        <w:jc w:val="both"/>
      </w:pPr>
      <w:r w:rsidRPr="0094434E">
        <w:rPr>
          <w:vertAlign w:val="superscript"/>
        </w:rPr>
        <w:t>105</w:t>
      </w:r>
      <w:r w:rsidRPr="0094434E">
        <w:t xml:space="preserve"> </w:t>
      </w:r>
      <w:r w:rsidRPr="0094434E">
        <w:rPr>
          <w:i/>
        </w:rPr>
        <w:t>Ashe</w:t>
      </w:r>
      <w:r w:rsidRPr="0094434E">
        <w:t xml:space="preserve">, 397 U.S. at 444 (emphasis added). </w:t>
      </w:r>
    </w:p>
    <w:p w14:paraId="4C4D1499" w14:textId="77777777" w:rsidR="0094434E" w:rsidRPr="0094434E" w:rsidRDefault="0094434E" w:rsidP="0094434E">
      <w:pPr>
        <w:ind w:firstLine="360"/>
        <w:jc w:val="both"/>
      </w:pPr>
      <w:r w:rsidRPr="0094434E">
        <w:rPr>
          <w:vertAlign w:val="superscript"/>
        </w:rPr>
        <w:t>106</w:t>
      </w:r>
      <w:r w:rsidRPr="0094434E">
        <w:t xml:space="preserve"> </w:t>
      </w:r>
      <w:r w:rsidRPr="0094434E">
        <w:rPr>
          <w:i/>
        </w:rPr>
        <w:t xml:space="preserve">Id. </w:t>
      </w:r>
      <w:r w:rsidRPr="0094434E">
        <w:t xml:space="preserve">(emphasis added). </w:t>
      </w:r>
    </w:p>
    <w:p w14:paraId="441C1D8E" w14:textId="77777777" w:rsidR="0094434E" w:rsidRPr="0094434E" w:rsidRDefault="0094434E" w:rsidP="0094434E">
      <w:pPr>
        <w:ind w:firstLine="360"/>
        <w:jc w:val="both"/>
        <w:rPr>
          <w:i/>
        </w:rPr>
      </w:pPr>
      <w:r w:rsidRPr="0094434E">
        <w:rPr>
          <w:vertAlign w:val="superscript"/>
        </w:rPr>
        <w:t>107</w:t>
      </w:r>
      <w:r w:rsidRPr="0094434E">
        <w:t xml:space="preserve"> </w:t>
      </w:r>
      <w:r w:rsidRPr="0094434E">
        <w:rPr>
          <w:i/>
        </w:rPr>
        <w:t>Ashe</w:t>
      </w:r>
      <w:r w:rsidRPr="0094434E">
        <w:t xml:space="preserve">, 397 U.S. 436 (1970); </w:t>
      </w:r>
      <w:r w:rsidRPr="0094434E">
        <w:rPr>
          <w:i/>
        </w:rPr>
        <w:t>Yeager v. United States</w:t>
      </w:r>
      <w:r w:rsidRPr="0094434E">
        <w:t>, 557 U.S. 110 (2009).</w:t>
      </w:r>
    </w:p>
    <w:p w14:paraId="05A6A09D" w14:textId="77777777" w:rsidR="0094434E" w:rsidRPr="0094434E" w:rsidRDefault="0094434E" w:rsidP="0094434E">
      <w:pPr>
        <w:ind w:firstLine="360"/>
        <w:jc w:val="both"/>
        <w:rPr>
          <w:vertAlign w:val="superscript"/>
        </w:rPr>
      </w:pPr>
      <w:r w:rsidRPr="0094434E">
        <w:rPr>
          <w:vertAlign w:val="superscript"/>
        </w:rPr>
        <w:t>108</w:t>
      </w:r>
      <w:r w:rsidRPr="0094434E">
        <w:rPr>
          <w:i/>
        </w:rPr>
        <w:t xml:space="preserve"> Ashe</w:t>
      </w:r>
      <w:r w:rsidRPr="0094434E">
        <w:t>, 397 U.S. at 437-48.</w:t>
      </w:r>
    </w:p>
    <w:p w14:paraId="646C5A36" w14:textId="77777777" w:rsidR="0094434E" w:rsidRPr="0094434E" w:rsidRDefault="0094434E" w:rsidP="0094434E">
      <w:pPr>
        <w:ind w:firstLine="360"/>
        <w:jc w:val="both"/>
        <w:rPr>
          <w:vertAlign w:val="superscript"/>
        </w:rPr>
      </w:pPr>
      <w:r w:rsidRPr="0094434E">
        <w:rPr>
          <w:vertAlign w:val="superscript"/>
        </w:rPr>
        <w:t>109</w:t>
      </w:r>
      <w:r w:rsidRPr="0094434E">
        <w:rPr>
          <w:i/>
        </w:rPr>
        <w:t xml:space="preserve"> United States v. Citron</w:t>
      </w:r>
      <w:r w:rsidRPr="0094434E">
        <w:t xml:space="preserve">, 853 F.2d 1055, 1058 (2d Cir. 1988) (quoting </w:t>
      </w:r>
      <w:r w:rsidRPr="0094434E">
        <w:rPr>
          <w:i/>
        </w:rPr>
        <w:t xml:space="preserve">United States v. </w:t>
      </w:r>
      <w:proofErr w:type="spellStart"/>
      <w:r w:rsidRPr="0094434E">
        <w:rPr>
          <w:i/>
        </w:rPr>
        <w:t>Tramunti</w:t>
      </w:r>
      <w:proofErr w:type="spellEnd"/>
      <w:r w:rsidRPr="0094434E">
        <w:t xml:space="preserve">, 500 F.2d 1334, 1346 (2d Cir. 1974)); </w:t>
      </w:r>
      <w:r w:rsidRPr="0094434E">
        <w:rPr>
          <w:i/>
        </w:rPr>
        <w:t xml:space="preserve">see United States v. </w:t>
      </w:r>
      <w:proofErr w:type="spellStart"/>
      <w:r w:rsidRPr="0094434E">
        <w:rPr>
          <w:i/>
        </w:rPr>
        <w:t>Seijo</w:t>
      </w:r>
      <w:proofErr w:type="spellEnd"/>
      <w:r w:rsidRPr="0094434E">
        <w:t>, 537 F.2d 694, 697 (2d Cir. 1976) (claiming defendant’s burden is “a heavy one”).</w:t>
      </w:r>
    </w:p>
    <w:p w14:paraId="2BCDA5C8" w14:textId="77777777" w:rsidR="0094434E" w:rsidRPr="0094434E" w:rsidRDefault="0094434E" w:rsidP="0094434E">
      <w:pPr>
        <w:ind w:firstLine="360"/>
        <w:jc w:val="both"/>
      </w:pPr>
      <w:r w:rsidRPr="0094434E">
        <w:rPr>
          <w:vertAlign w:val="superscript"/>
        </w:rPr>
        <w:t>110</w:t>
      </w:r>
      <w:r w:rsidRPr="0094434E">
        <w:rPr>
          <w:i/>
        </w:rPr>
        <w:t xml:space="preserve"> Ashe</w:t>
      </w:r>
      <w:r w:rsidRPr="0094434E">
        <w:t>, 397 U.S. at 438.</w:t>
      </w:r>
    </w:p>
    <w:p w14:paraId="0B5DAD2C" w14:textId="77777777" w:rsidR="0094434E" w:rsidRPr="0094434E" w:rsidRDefault="0094434E" w:rsidP="0094434E">
      <w:pPr>
        <w:ind w:firstLine="360"/>
        <w:jc w:val="both"/>
      </w:pPr>
      <w:r w:rsidRPr="0094434E">
        <w:rPr>
          <w:vertAlign w:val="superscript"/>
        </w:rPr>
        <w:t>111</w:t>
      </w:r>
      <w:r w:rsidRPr="0094434E">
        <w:rPr>
          <w:i/>
        </w:rPr>
        <w:t xml:space="preserve"> Id. </w:t>
      </w:r>
      <w:r w:rsidRPr="0094434E">
        <w:t>at 439.</w:t>
      </w:r>
    </w:p>
    <w:p w14:paraId="23C9175A" w14:textId="77777777" w:rsidR="0094434E" w:rsidRPr="0094434E" w:rsidRDefault="0094434E" w:rsidP="0094434E">
      <w:pPr>
        <w:ind w:firstLine="360"/>
        <w:jc w:val="both"/>
        <w:rPr>
          <w:i/>
        </w:rPr>
      </w:pPr>
      <w:r w:rsidRPr="0094434E">
        <w:rPr>
          <w:vertAlign w:val="superscript"/>
        </w:rPr>
        <w:t>112</w:t>
      </w:r>
      <w:r w:rsidRPr="0094434E">
        <w:rPr>
          <w:i/>
        </w:rPr>
        <w:t xml:space="preserve"> Id. </w:t>
      </w:r>
    </w:p>
    <w:p w14:paraId="74918B2B" w14:textId="77777777" w:rsidR="0094434E" w:rsidRPr="0094434E" w:rsidRDefault="0094434E" w:rsidP="0094434E">
      <w:pPr>
        <w:ind w:firstLine="360"/>
        <w:jc w:val="both"/>
      </w:pPr>
      <w:r w:rsidRPr="0094434E">
        <w:rPr>
          <w:vertAlign w:val="superscript"/>
        </w:rPr>
        <w:t>113</w:t>
      </w:r>
      <w:r w:rsidRPr="0094434E">
        <w:rPr>
          <w:i/>
        </w:rPr>
        <w:t xml:space="preserve"> Id. </w:t>
      </w:r>
      <w:r w:rsidRPr="0094434E">
        <w:t>at 440.</w:t>
      </w:r>
    </w:p>
    <w:p w14:paraId="0E94E8A9" w14:textId="77777777" w:rsidR="0094434E" w:rsidRPr="0094434E" w:rsidRDefault="0094434E" w:rsidP="0094434E">
      <w:pPr>
        <w:ind w:firstLine="360"/>
        <w:jc w:val="both"/>
        <w:rPr>
          <w:i/>
        </w:rPr>
      </w:pPr>
      <w:r w:rsidRPr="0094434E">
        <w:rPr>
          <w:vertAlign w:val="superscript"/>
        </w:rPr>
        <w:t>114</w:t>
      </w:r>
      <w:r w:rsidRPr="0094434E">
        <w:rPr>
          <w:i/>
        </w:rPr>
        <w:t xml:space="preserve"> Id. </w:t>
      </w:r>
    </w:p>
    <w:p w14:paraId="01AE4E93" w14:textId="77777777" w:rsidR="0094434E" w:rsidRPr="0094434E" w:rsidRDefault="0094434E" w:rsidP="0094434E">
      <w:pPr>
        <w:ind w:firstLine="360"/>
        <w:jc w:val="both"/>
        <w:rPr>
          <w:i/>
        </w:rPr>
      </w:pPr>
      <w:r w:rsidRPr="0094434E">
        <w:rPr>
          <w:vertAlign w:val="superscript"/>
        </w:rPr>
        <w:t>115</w:t>
      </w:r>
      <w:r w:rsidRPr="0094434E">
        <w:rPr>
          <w:i/>
        </w:rPr>
        <w:t xml:space="preserve"> Id. </w:t>
      </w:r>
    </w:p>
    <w:p w14:paraId="17091334" w14:textId="77777777" w:rsidR="0094434E" w:rsidRPr="0094434E" w:rsidRDefault="0094434E" w:rsidP="0094434E">
      <w:pPr>
        <w:ind w:firstLine="360"/>
        <w:jc w:val="both"/>
      </w:pPr>
      <w:r w:rsidRPr="0094434E">
        <w:rPr>
          <w:vertAlign w:val="superscript"/>
        </w:rPr>
        <w:t>116</w:t>
      </w:r>
      <w:r w:rsidRPr="0094434E">
        <w:rPr>
          <w:i/>
        </w:rPr>
        <w:t xml:space="preserve"> Id. </w:t>
      </w:r>
      <w:r w:rsidRPr="0094434E">
        <w:t>at 444.</w:t>
      </w:r>
    </w:p>
    <w:p w14:paraId="52327567" w14:textId="77777777" w:rsidR="0094434E" w:rsidRPr="0094434E" w:rsidRDefault="0094434E" w:rsidP="0094434E">
      <w:pPr>
        <w:ind w:firstLine="360"/>
        <w:jc w:val="both"/>
        <w:rPr>
          <w:i/>
        </w:rPr>
      </w:pPr>
      <w:r w:rsidRPr="0094434E">
        <w:rPr>
          <w:vertAlign w:val="superscript"/>
        </w:rPr>
        <w:t>117</w:t>
      </w:r>
      <w:r w:rsidRPr="0094434E">
        <w:rPr>
          <w:i/>
        </w:rPr>
        <w:t xml:space="preserve"> Id. </w:t>
      </w:r>
    </w:p>
    <w:p w14:paraId="74CED425" w14:textId="77777777" w:rsidR="0094434E" w:rsidRPr="0094434E" w:rsidRDefault="0094434E" w:rsidP="0094434E">
      <w:pPr>
        <w:ind w:firstLine="360"/>
        <w:jc w:val="both"/>
      </w:pPr>
      <w:r w:rsidRPr="0094434E">
        <w:rPr>
          <w:vertAlign w:val="superscript"/>
        </w:rPr>
        <w:t>118</w:t>
      </w:r>
      <w:r w:rsidRPr="0094434E">
        <w:rPr>
          <w:i/>
        </w:rPr>
        <w:t xml:space="preserve"> Id. </w:t>
      </w:r>
      <w:r w:rsidRPr="0094434E">
        <w:t>at 445.</w:t>
      </w:r>
    </w:p>
    <w:p w14:paraId="3DAD8694" w14:textId="77777777" w:rsidR="0094434E" w:rsidRPr="0094434E" w:rsidRDefault="0094434E" w:rsidP="0094434E">
      <w:pPr>
        <w:ind w:firstLine="360"/>
        <w:jc w:val="both"/>
      </w:pPr>
      <w:r w:rsidRPr="0094434E">
        <w:rPr>
          <w:vertAlign w:val="superscript"/>
        </w:rPr>
        <w:t>119</w:t>
      </w:r>
      <w:r w:rsidRPr="0094434E">
        <w:rPr>
          <w:i/>
        </w:rPr>
        <w:t xml:space="preserve"> Id. </w:t>
      </w:r>
      <w:r w:rsidRPr="0094434E">
        <w:t>at 444.</w:t>
      </w:r>
    </w:p>
    <w:p w14:paraId="4510AE69" w14:textId="77777777" w:rsidR="0094434E" w:rsidRPr="0094434E" w:rsidRDefault="0094434E" w:rsidP="0094434E">
      <w:pPr>
        <w:ind w:firstLine="360"/>
        <w:jc w:val="both"/>
      </w:pPr>
      <w:r w:rsidRPr="0094434E">
        <w:rPr>
          <w:vertAlign w:val="superscript"/>
        </w:rPr>
        <w:t>120</w:t>
      </w:r>
      <w:r w:rsidRPr="0094434E">
        <w:rPr>
          <w:i/>
        </w:rPr>
        <w:t xml:space="preserve"> Ashe</w:t>
      </w:r>
      <w:r w:rsidRPr="0094434E">
        <w:t>, 397 U.S.</w:t>
      </w:r>
      <w:r w:rsidRPr="0094434E">
        <w:rPr>
          <w:i/>
        </w:rPr>
        <w:t xml:space="preserve"> </w:t>
      </w:r>
      <w:r w:rsidRPr="0094434E">
        <w:t>at 446.</w:t>
      </w:r>
    </w:p>
    <w:p w14:paraId="2BFFD966" w14:textId="77777777" w:rsidR="0094434E" w:rsidRPr="0094434E" w:rsidRDefault="0094434E" w:rsidP="0094434E">
      <w:pPr>
        <w:ind w:firstLine="360"/>
        <w:jc w:val="both"/>
      </w:pPr>
      <w:r w:rsidRPr="0094434E">
        <w:rPr>
          <w:vertAlign w:val="superscript"/>
        </w:rPr>
        <w:t>121</w:t>
      </w:r>
      <w:r w:rsidRPr="0094434E">
        <w:rPr>
          <w:i/>
        </w:rPr>
        <w:t xml:space="preserve"> Id. </w:t>
      </w:r>
      <w:r w:rsidRPr="0094434E">
        <w:t>at 447.</w:t>
      </w:r>
    </w:p>
    <w:p w14:paraId="1143DD13" w14:textId="77777777" w:rsidR="0094434E" w:rsidRPr="0094434E" w:rsidRDefault="0094434E" w:rsidP="0094434E">
      <w:pPr>
        <w:ind w:firstLine="360"/>
        <w:jc w:val="both"/>
        <w:rPr>
          <w:i/>
        </w:rPr>
      </w:pPr>
      <w:r w:rsidRPr="0094434E">
        <w:rPr>
          <w:vertAlign w:val="superscript"/>
        </w:rPr>
        <w:t>122</w:t>
      </w:r>
      <w:r w:rsidRPr="0094434E">
        <w:rPr>
          <w:i/>
        </w:rPr>
        <w:t xml:space="preserve"> United States v. Powell</w:t>
      </w:r>
      <w:r w:rsidRPr="0094434E">
        <w:t>, 469 U.S. 57, 62-63 (1984).</w:t>
      </w:r>
    </w:p>
    <w:p w14:paraId="7384CC29" w14:textId="77777777" w:rsidR="0094434E" w:rsidRPr="0094434E" w:rsidRDefault="0094434E" w:rsidP="0094434E">
      <w:pPr>
        <w:ind w:firstLine="360"/>
        <w:jc w:val="both"/>
      </w:pPr>
      <w:r w:rsidRPr="0094434E">
        <w:rPr>
          <w:vertAlign w:val="superscript"/>
        </w:rPr>
        <w:t>123</w:t>
      </w:r>
      <w:r w:rsidRPr="0094434E">
        <w:rPr>
          <w:i/>
        </w:rPr>
        <w:t xml:space="preserve"> United States v. Espinosa-</w:t>
      </w:r>
      <w:proofErr w:type="spellStart"/>
      <w:r w:rsidRPr="0094434E">
        <w:rPr>
          <w:i/>
        </w:rPr>
        <w:t>Cerpa</w:t>
      </w:r>
      <w:proofErr w:type="spellEnd"/>
      <w:r w:rsidRPr="0094434E">
        <w:t>, 630 F.2d 328, 332 (5</w:t>
      </w:r>
      <w:r w:rsidRPr="0094434E">
        <w:rPr>
          <w:vertAlign w:val="superscript"/>
        </w:rPr>
        <w:t>th</w:t>
      </w:r>
      <w:r w:rsidRPr="0094434E">
        <w:t xml:space="preserve"> Cir. 1980). </w:t>
      </w:r>
    </w:p>
    <w:p w14:paraId="48992BD1" w14:textId="77777777" w:rsidR="0094434E" w:rsidRPr="0094434E" w:rsidRDefault="0094434E" w:rsidP="0094434E">
      <w:pPr>
        <w:ind w:firstLine="360"/>
        <w:jc w:val="both"/>
      </w:pPr>
      <w:r w:rsidRPr="0094434E">
        <w:rPr>
          <w:vertAlign w:val="superscript"/>
        </w:rPr>
        <w:t>124</w:t>
      </w:r>
      <w:r w:rsidRPr="0094434E">
        <w:rPr>
          <w:i/>
        </w:rPr>
        <w:t xml:space="preserve"> United States v. Powell</w:t>
      </w:r>
      <w:r w:rsidRPr="0094434E">
        <w:t xml:space="preserve">, 469 U.S. 57, 62 (1984) (quoting </w:t>
      </w:r>
      <w:r w:rsidRPr="0094434E">
        <w:rPr>
          <w:i/>
        </w:rPr>
        <w:t>Dunn v. United States</w:t>
      </w:r>
      <w:r w:rsidRPr="0094434E">
        <w:t xml:space="preserve">, 284 U.S. 380, 393 (1932); </w:t>
      </w:r>
      <w:r w:rsidRPr="0094434E">
        <w:rPr>
          <w:i/>
        </w:rPr>
        <w:t>Harris v. Rivera</w:t>
      </w:r>
      <w:r w:rsidRPr="0094434E">
        <w:t xml:space="preserve">, 454 U.S. 339, 348 (1981); </w:t>
      </w:r>
      <w:r w:rsidRPr="0094434E">
        <w:rPr>
          <w:i/>
        </w:rPr>
        <w:t>United States v. Price</w:t>
      </w:r>
      <w:r w:rsidRPr="0094434E">
        <w:t>, 750 F.2d 363, 365 (2d Cir. 1985).</w:t>
      </w:r>
    </w:p>
    <w:p w14:paraId="3732D28F" w14:textId="77777777" w:rsidR="0094434E" w:rsidRPr="0094434E" w:rsidRDefault="0094434E" w:rsidP="0094434E">
      <w:pPr>
        <w:ind w:firstLine="360"/>
        <w:jc w:val="both"/>
        <w:rPr>
          <w:i/>
        </w:rPr>
      </w:pPr>
      <w:r w:rsidRPr="0094434E">
        <w:rPr>
          <w:vertAlign w:val="superscript"/>
        </w:rPr>
        <w:t>125</w:t>
      </w:r>
      <w:r w:rsidRPr="0094434E">
        <w:rPr>
          <w:i/>
        </w:rPr>
        <w:t xml:space="preserve"> Id. </w:t>
      </w:r>
    </w:p>
    <w:p w14:paraId="33C4856D" w14:textId="77777777" w:rsidR="0094434E" w:rsidRPr="0094434E" w:rsidRDefault="0094434E" w:rsidP="0094434E">
      <w:pPr>
        <w:ind w:firstLine="360"/>
        <w:jc w:val="both"/>
      </w:pPr>
      <w:r w:rsidRPr="0094434E">
        <w:rPr>
          <w:vertAlign w:val="superscript"/>
        </w:rPr>
        <w:t>126</w:t>
      </w:r>
      <w:r w:rsidRPr="0094434E">
        <w:rPr>
          <w:i/>
        </w:rPr>
        <w:t xml:space="preserve"> United States v. Citron</w:t>
      </w:r>
      <w:r w:rsidRPr="0094434E">
        <w:t>, 853 F.2d 1055, 1058 (2d Cir. 1988).</w:t>
      </w:r>
    </w:p>
    <w:p w14:paraId="153F7965" w14:textId="77777777" w:rsidR="0094434E" w:rsidRPr="0094434E" w:rsidRDefault="0094434E" w:rsidP="0094434E">
      <w:pPr>
        <w:ind w:firstLine="360"/>
        <w:jc w:val="both"/>
      </w:pPr>
      <w:r w:rsidRPr="0094434E">
        <w:rPr>
          <w:vertAlign w:val="superscript"/>
        </w:rPr>
        <w:t>127</w:t>
      </w:r>
      <w:r w:rsidRPr="0094434E">
        <w:rPr>
          <w:i/>
        </w:rPr>
        <w:t xml:space="preserve"> Id. </w:t>
      </w:r>
      <w:r w:rsidRPr="0094434E">
        <w:t>at 1057.</w:t>
      </w:r>
    </w:p>
    <w:p w14:paraId="3F20E684" w14:textId="77777777" w:rsidR="0094434E" w:rsidRPr="0094434E" w:rsidRDefault="0094434E" w:rsidP="0094434E">
      <w:pPr>
        <w:ind w:firstLine="360"/>
        <w:jc w:val="both"/>
        <w:rPr>
          <w:i/>
        </w:rPr>
      </w:pPr>
      <w:r w:rsidRPr="0094434E">
        <w:rPr>
          <w:vertAlign w:val="superscript"/>
        </w:rPr>
        <w:t>128</w:t>
      </w:r>
      <w:r w:rsidRPr="0094434E">
        <w:rPr>
          <w:i/>
        </w:rPr>
        <w:t xml:space="preserve"> Id. </w:t>
      </w:r>
    </w:p>
    <w:p w14:paraId="6C383316" w14:textId="77777777" w:rsidR="0094434E" w:rsidRPr="0094434E" w:rsidRDefault="0094434E" w:rsidP="0094434E">
      <w:pPr>
        <w:ind w:firstLine="360"/>
        <w:jc w:val="both"/>
      </w:pPr>
      <w:r w:rsidRPr="0094434E">
        <w:rPr>
          <w:vertAlign w:val="superscript"/>
        </w:rPr>
        <w:t>129</w:t>
      </w:r>
      <w:r w:rsidRPr="0094434E">
        <w:rPr>
          <w:i/>
        </w:rPr>
        <w:t xml:space="preserve"> Id. </w:t>
      </w:r>
      <w:r w:rsidRPr="0094434E">
        <w:t>at 1058.</w:t>
      </w:r>
    </w:p>
    <w:p w14:paraId="430CCABA" w14:textId="77777777" w:rsidR="0094434E" w:rsidRPr="0094434E" w:rsidRDefault="0094434E" w:rsidP="0094434E">
      <w:pPr>
        <w:ind w:firstLine="360"/>
        <w:jc w:val="both"/>
      </w:pPr>
      <w:r w:rsidRPr="0094434E">
        <w:rPr>
          <w:vertAlign w:val="superscript"/>
        </w:rPr>
        <w:t>130</w:t>
      </w:r>
      <w:r w:rsidRPr="0094434E">
        <w:rPr>
          <w:i/>
        </w:rPr>
        <w:t xml:space="preserve"> Id. </w:t>
      </w:r>
      <w:r w:rsidRPr="0094434E">
        <w:t>at 1061.</w:t>
      </w:r>
    </w:p>
    <w:p w14:paraId="5CCA2599" w14:textId="77777777" w:rsidR="0094434E" w:rsidRPr="0094434E" w:rsidRDefault="0094434E" w:rsidP="0094434E">
      <w:pPr>
        <w:ind w:firstLine="360"/>
        <w:jc w:val="both"/>
        <w:rPr>
          <w:i/>
        </w:rPr>
      </w:pPr>
      <w:r w:rsidRPr="0094434E">
        <w:rPr>
          <w:vertAlign w:val="superscript"/>
        </w:rPr>
        <w:t>131</w:t>
      </w:r>
      <w:r w:rsidRPr="0094434E">
        <w:rPr>
          <w:i/>
        </w:rPr>
        <w:t xml:space="preserve"> Id. </w:t>
      </w:r>
      <w:r w:rsidRPr="0094434E">
        <w:t xml:space="preserve">(quoting </w:t>
      </w:r>
      <w:r w:rsidRPr="0094434E">
        <w:rPr>
          <w:i/>
        </w:rPr>
        <w:t>Ashe</w:t>
      </w:r>
      <w:r w:rsidRPr="0094434E">
        <w:t>, 397 U.S. at 444).</w:t>
      </w:r>
    </w:p>
    <w:p w14:paraId="52114B3A" w14:textId="77777777" w:rsidR="0094434E" w:rsidRPr="0094434E" w:rsidRDefault="0094434E" w:rsidP="0094434E">
      <w:pPr>
        <w:jc w:val="both"/>
      </w:pPr>
      <w:r w:rsidRPr="0094434E">
        <w:rPr>
          <w:vertAlign w:val="superscript"/>
        </w:rPr>
        <w:t>132</w:t>
      </w:r>
      <w:r w:rsidRPr="0094434E">
        <w:rPr>
          <w:i/>
        </w:rPr>
        <w:t xml:space="preserve"> Compare</w:t>
      </w:r>
      <w:r w:rsidRPr="0094434E">
        <w:t xml:space="preserve"> United States v. Citron, 853 F.2d 1055, 1058 (2d Cir. 1988) (holding defendant acquitted on some counts and convicted of tax evasion but later vacated due to mistrial could not be precluded from a new trial for previously convicted charge by collateral estoppel because the issue of whether the defendant committed tax evasion was not necessarily determined by the previous trial), United States v. Price, 750 F.2d 363, 366 (5th Cir. 1985) (holding collateral estoppel only applies to acquittals but does not apply to convictions, even if they are later reversed due to court error, to retry a defendant on a count that they were previously convicted regardless of the same evidence being used for both trials for separate charges), Evans v. United States, 987 A. 2d 1138, 1142 (D.C. Cir. 2010) (citing Yeager v. United States, 557 U.S. 110, 120 (2009)), United States v. Powell, 469 U.S. 57, 69 (1984) (distinguishing Yeager in that Yeager’s jury acquitted defendant on some counts and hung on others but there was “no inconsistent verdict of guilt . . . in opposition to . . . acquittals” whereas in Powell, defendant was convicted of felony murder but acquitted of burglary, thus there is an inconsistent verdict and a retrial for felony murder is permitted and not estopped by collateral estoppel), State of New Jersey v. Kelly, 201 N.J. 471, 492 (N.J. 2010) (holding a defendant convicted of murder and robbery but acquitted on related handgun possession charges could be retried after a mistrial due to the defendant’s witness’ perjured testimony because the court does not give preclude retrials after an “acquittal that may have been the product of lenity, compromise or mistake”, United States v. Bruno, 531 Fed. </w:t>
      </w:r>
      <w:proofErr w:type="spellStart"/>
      <w:r w:rsidRPr="0094434E">
        <w:t>Appx</w:t>
      </w:r>
      <w:proofErr w:type="spellEnd"/>
      <w:r w:rsidRPr="0094434E">
        <w:t xml:space="preserve">. 47, 49 (2d Cir. 2013) (holding an acquittal accompanied by a conviction precludes collateral estoppel because the conviction “casts doubt” on any factual decisions that could have been inferred by the jury’s acquittal). </w:t>
      </w:r>
      <w:r w:rsidRPr="0094434E">
        <w:rPr>
          <w:i/>
        </w:rPr>
        <w:t>with</w:t>
      </w:r>
      <w:r w:rsidRPr="0094434E">
        <w:t xml:space="preserve"> Yeager v. United States, 557 U.S. 110, 122-23 (2009) (holding acquittals in an inconsistent verdict with hung counts may be given preclusive effect by the collateral estoppel doctrine because a hung count is a “nonevent” and should not considered in an issue preclusion analysis), United States v. Aguilar-</w:t>
      </w:r>
      <w:proofErr w:type="spellStart"/>
      <w:r w:rsidRPr="0094434E">
        <w:t>Aranceta</w:t>
      </w:r>
      <w:proofErr w:type="spellEnd"/>
      <w:r w:rsidRPr="0094434E">
        <w:t xml:space="preserve">, 957 F.2d 18, 23-25 (1d Cir. 1992) (abrogated in part by Yeager) (holding a deadlock decision that defendant knowingly possessed cocaine could be retried regardless of an acquittal for possession of cocaine with intent to distribute it because the jury could have found although defendant knew it was cocaine, she didn’t cause it to be imported, thus the possibility that the fact was determined, but not necessarily determined in the previous trial does not prevent re-examination of the issue) (emphasis added), </w:t>
      </w:r>
      <w:r w:rsidRPr="0094434E">
        <w:rPr>
          <w:i/>
        </w:rPr>
        <w:t>and</w:t>
      </w:r>
      <w:r w:rsidRPr="0094434E">
        <w:t xml:space="preserve"> United States v. </w:t>
      </w:r>
      <w:proofErr w:type="spellStart"/>
      <w:r w:rsidRPr="0094434E">
        <w:t>Ohayon</w:t>
      </w:r>
      <w:proofErr w:type="spellEnd"/>
      <w:r w:rsidRPr="0094434E">
        <w:t xml:space="preserve">, 483 F.3d 1281, 1289-90 (11th Cir. 2007) (holding a hung verdict accompanied by an acquittal should allow for issue preclusion if the same issue is to be </w:t>
      </w:r>
      <w:proofErr w:type="spellStart"/>
      <w:r w:rsidRPr="0094434E">
        <w:t>relitigated</w:t>
      </w:r>
      <w:proofErr w:type="spellEnd"/>
      <w:r w:rsidRPr="0094434E">
        <w:t>).</w:t>
      </w:r>
    </w:p>
    <w:p w14:paraId="7C7FD871" w14:textId="77777777" w:rsidR="0094434E" w:rsidRPr="0094434E" w:rsidRDefault="0094434E" w:rsidP="0094434E">
      <w:pPr>
        <w:ind w:firstLine="360"/>
        <w:jc w:val="both"/>
      </w:pPr>
      <w:r w:rsidRPr="0094434E">
        <w:rPr>
          <w:vertAlign w:val="superscript"/>
        </w:rPr>
        <w:t>133</w:t>
      </w:r>
      <w:r w:rsidRPr="0094434E">
        <w:rPr>
          <w:i/>
        </w:rPr>
        <w:t xml:space="preserve"> Yeager v. United States</w:t>
      </w:r>
      <w:r w:rsidRPr="0094434E">
        <w:t xml:space="preserve">, 557 U.S. 110, 122-23 (2009). </w:t>
      </w:r>
    </w:p>
    <w:p w14:paraId="4F9F683A" w14:textId="77777777" w:rsidR="0094434E" w:rsidRPr="0094434E" w:rsidRDefault="0094434E" w:rsidP="0094434E">
      <w:pPr>
        <w:ind w:firstLine="360"/>
        <w:jc w:val="both"/>
      </w:pPr>
      <w:r w:rsidRPr="0094434E">
        <w:rPr>
          <w:vertAlign w:val="superscript"/>
        </w:rPr>
        <w:t>134</w:t>
      </w:r>
      <w:r w:rsidRPr="0094434E">
        <w:rPr>
          <w:i/>
        </w:rPr>
        <w:t xml:space="preserve"> Id. </w:t>
      </w:r>
      <w:r w:rsidRPr="0094434E">
        <w:t>at 114-15.</w:t>
      </w:r>
    </w:p>
    <w:p w14:paraId="316E589B" w14:textId="77777777" w:rsidR="0094434E" w:rsidRPr="0094434E" w:rsidRDefault="0094434E" w:rsidP="0094434E">
      <w:pPr>
        <w:ind w:firstLine="360"/>
        <w:jc w:val="both"/>
        <w:rPr>
          <w:i/>
        </w:rPr>
      </w:pPr>
      <w:r w:rsidRPr="0094434E">
        <w:rPr>
          <w:vertAlign w:val="superscript"/>
        </w:rPr>
        <w:t>135</w:t>
      </w:r>
      <w:r w:rsidRPr="0094434E">
        <w:rPr>
          <w:i/>
        </w:rPr>
        <w:t xml:space="preserve"> Id. </w:t>
      </w:r>
    </w:p>
    <w:p w14:paraId="7149FC7C" w14:textId="77777777" w:rsidR="0094434E" w:rsidRPr="0094434E" w:rsidRDefault="0094434E" w:rsidP="0094434E">
      <w:pPr>
        <w:ind w:firstLine="360"/>
        <w:jc w:val="both"/>
      </w:pPr>
      <w:r w:rsidRPr="0094434E">
        <w:rPr>
          <w:vertAlign w:val="superscript"/>
        </w:rPr>
        <w:t>136</w:t>
      </w:r>
      <w:r w:rsidRPr="0094434E">
        <w:rPr>
          <w:i/>
        </w:rPr>
        <w:t xml:space="preserve"> Id. </w:t>
      </w:r>
      <w:r w:rsidRPr="0094434E">
        <w:t>at 122.</w:t>
      </w:r>
    </w:p>
    <w:p w14:paraId="3E681A82" w14:textId="77777777" w:rsidR="0094434E" w:rsidRPr="0094434E" w:rsidRDefault="0094434E" w:rsidP="0094434E">
      <w:pPr>
        <w:ind w:firstLine="360"/>
        <w:jc w:val="both"/>
      </w:pPr>
      <w:r w:rsidRPr="0094434E">
        <w:rPr>
          <w:vertAlign w:val="superscript"/>
        </w:rPr>
        <w:t>137</w:t>
      </w:r>
      <w:r w:rsidRPr="0094434E">
        <w:rPr>
          <w:i/>
        </w:rPr>
        <w:t xml:space="preserve"> Id. </w:t>
      </w:r>
      <w:r w:rsidRPr="0094434E">
        <w:t>at 122-23.</w:t>
      </w:r>
    </w:p>
    <w:p w14:paraId="3ACDB1A3" w14:textId="77777777" w:rsidR="0094434E" w:rsidRPr="0094434E" w:rsidRDefault="0094434E" w:rsidP="0094434E">
      <w:pPr>
        <w:ind w:firstLine="360"/>
        <w:jc w:val="both"/>
        <w:rPr>
          <w:i/>
        </w:rPr>
      </w:pPr>
      <w:r w:rsidRPr="0094434E">
        <w:rPr>
          <w:vertAlign w:val="superscript"/>
        </w:rPr>
        <w:t>138</w:t>
      </w:r>
      <w:r w:rsidRPr="0094434E">
        <w:rPr>
          <w:i/>
        </w:rPr>
        <w:t xml:space="preserve"> United States v. </w:t>
      </w:r>
      <w:proofErr w:type="spellStart"/>
      <w:r w:rsidRPr="0094434E">
        <w:rPr>
          <w:i/>
        </w:rPr>
        <w:t>Ohayon</w:t>
      </w:r>
      <w:proofErr w:type="spellEnd"/>
      <w:r w:rsidRPr="0094434E">
        <w:t xml:space="preserve">, 483 F.3d 1281, 1289-90 (11th Cir. 2007); </w:t>
      </w:r>
      <w:r w:rsidRPr="0094434E">
        <w:rPr>
          <w:i/>
        </w:rPr>
        <w:t>see</w:t>
      </w:r>
      <w:r w:rsidRPr="0094434E">
        <w:t xml:space="preserve"> </w:t>
      </w:r>
      <w:r w:rsidRPr="0094434E">
        <w:rPr>
          <w:i/>
        </w:rPr>
        <w:t>United States v. Romeo</w:t>
      </w:r>
      <w:r w:rsidRPr="0094434E">
        <w:t xml:space="preserve">, 114 F.3d 141, 142 (9th Cir. 1997) (holding the acquittal of a possession with intent to distribute charge, accompanied by a failure to return a verdict on importation charge, determined the jury’s acquittal was founded on the determination of the fact that defendant lacked knowledge of the substance’s presence, thus the lack of the essential element of knowledge estopped a retrial of the importation charge that was previously undecided by the hung verdict); </w:t>
      </w:r>
      <w:r w:rsidRPr="0094434E">
        <w:rPr>
          <w:i/>
        </w:rPr>
        <w:t>United States v. Frazier</w:t>
      </w:r>
      <w:r w:rsidRPr="0094434E">
        <w:t>, 880 F.2d 878, 885 (6th Cir. 1989) (holding an acquittal of misapplication of funds charge accompanied by a failure to return verdict on making false entries charge would bar retrial of hung count because the jury’s basis for acquittal must have been the defendant did not to willfully create false entries since they acquitted defendant on willfully misapplying funds).</w:t>
      </w:r>
    </w:p>
    <w:p w14:paraId="00248DD7" w14:textId="77777777" w:rsidR="0094434E" w:rsidRPr="0094434E" w:rsidRDefault="0094434E" w:rsidP="0094434E">
      <w:pPr>
        <w:ind w:firstLine="360"/>
        <w:jc w:val="both"/>
      </w:pPr>
      <w:r w:rsidRPr="0094434E">
        <w:rPr>
          <w:vertAlign w:val="superscript"/>
        </w:rPr>
        <w:t>139</w:t>
      </w:r>
      <w:r w:rsidRPr="0094434E">
        <w:rPr>
          <w:i/>
        </w:rPr>
        <w:t xml:space="preserve"> </w:t>
      </w:r>
      <w:proofErr w:type="spellStart"/>
      <w:r w:rsidRPr="0094434E">
        <w:rPr>
          <w:i/>
        </w:rPr>
        <w:t>Ohayon</w:t>
      </w:r>
      <w:proofErr w:type="spellEnd"/>
      <w:r w:rsidRPr="0094434E">
        <w:t xml:space="preserve">, 483 F.3d at 1292 (claiming if court would allow a retrial, the facts, argument, evidence and jury instructions would be the same in the second prosecution as in the first prosecution, thus the jury would conclude the same issue of fact common to both the acquitted offense and the hung count, baring the retrial for the related offense that was previously undecided); </w:t>
      </w:r>
      <w:r w:rsidRPr="0094434E">
        <w:rPr>
          <w:i/>
        </w:rPr>
        <w:t>see</w:t>
      </w:r>
      <w:r w:rsidRPr="0094434E">
        <w:t xml:space="preserve"> </w:t>
      </w:r>
      <w:proofErr w:type="spellStart"/>
      <w:r w:rsidRPr="0094434E">
        <w:rPr>
          <w:i/>
        </w:rPr>
        <w:t>Sealfon</w:t>
      </w:r>
      <w:proofErr w:type="spellEnd"/>
      <w:r w:rsidRPr="0094434E">
        <w:rPr>
          <w:i/>
        </w:rPr>
        <w:t xml:space="preserve"> v United States</w:t>
      </w:r>
      <w:r w:rsidRPr="0094434E">
        <w:t xml:space="preserve">, 68 </w:t>
      </w:r>
      <w:proofErr w:type="spellStart"/>
      <w:r w:rsidRPr="0094434E">
        <w:t>S.Ct</w:t>
      </w:r>
      <w:proofErr w:type="spellEnd"/>
      <w:r w:rsidRPr="0094434E">
        <w:t>. 237, 240 (1948) (holding an acquittal in an earlier trial for a substantive offense can not be tried again, under collateral estoppel, with the identically same facts as in the first trial as a second attempt to prove an essential fact that the jury necessarily adjudicated in their first acquittal because collateral estoppel bars prosecution after an acquittal on related charges).</w:t>
      </w:r>
    </w:p>
    <w:p w14:paraId="1562197F" w14:textId="77777777" w:rsidR="0094434E" w:rsidRPr="0094434E" w:rsidRDefault="0094434E" w:rsidP="0094434E">
      <w:pPr>
        <w:ind w:firstLine="360"/>
        <w:jc w:val="both"/>
        <w:rPr>
          <w:rFonts w:ascii="ArnoPro" w:hAnsi="ArnoPro" w:hint="eastAsia"/>
        </w:rPr>
      </w:pPr>
      <w:r w:rsidRPr="0094434E">
        <w:rPr>
          <w:vertAlign w:val="superscript"/>
        </w:rPr>
        <w:t>140</w:t>
      </w:r>
      <w:r w:rsidRPr="0094434E">
        <w:rPr>
          <w:i/>
        </w:rPr>
        <w:t xml:space="preserve"> Harris v. State</w:t>
      </w:r>
      <w:r w:rsidRPr="0094434E">
        <w:t xml:space="preserve">, 193 Ga. 109, 114 (1941); </w:t>
      </w:r>
      <w:r w:rsidRPr="0094434E">
        <w:rPr>
          <w:i/>
        </w:rPr>
        <w:t xml:space="preserve">see </w:t>
      </w:r>
      <w:r w:rsidRPr="0094434E">
        <w:t xml:space="preserve">De Paul College of Law, </w:t>
      </w:r>
      <w:r w:rsidRPr="0094434E">
        <w:rPr>
          <w:i/>
        </w:rPr>
        <w:t xml:space="preserve">Criminal Law – Multiple Trials for a Single Transaction Involving Several Offenses Held Not </w:t>
      </w:r>
      <w:proofErr w:type="spellStart"/>
      <w:r w:rsidRPr="0094434E">
        <w:rPr>
          <w:i/>
        </w:rPr>
        <w:t>Violative</w:t>
      </w:r>
      <w:proofErr w:type="spellEnd"/>
      <w:r w:rsidRPr="0094434E">
        <w:rPr>
          <w:i/>
        </w:rPr>
        <w:t xml:space="preserve"> of Due Process</w:t>
      </w:r>
      <w:r w:rsidRPr="0094434E">
        <w:t xml:space="preserve">, 8 De Paul L. Rev. J. 104, 102-06 (1958), </w:t>
      </w:r>
      <w:r w:rsidRPr="0094434E">
        <w:rPr>
          <w:rFonts w:ascii="ArnoPro" w:hAnsi="ArnoPro"/>
        </w:rPr>
        <w:t>http://via.library.depaul.edu/law-review/vol8/iss1/11.</w:t>
      </w:r>
    </w:p>
    <w:p w14:paraId="6F78CCF1" w14:textId="77777777" w:rsidR="0094434E" w:rsidRPr="0094434E" w:rsidRDefault="0094434E" w:rsidP="0094434E">
      <w:pPr>
        <w:ind w:firstLine="360"/>
        <w:jc w:val="both"/>
        <w:rPr>
          <w:i/>
        </w:rPr>
      </w:pPr>
      <w:r w:rsidRPr="0094434E">
        <w:rPr>
          <w:vertAlign w:val="superscript"/>
        </w:rPr>
        <w:t>141</w:t>
      </w:r>
      <w:r w:rsidRPr="0094434E">
        <w:rPr>
          <w:i/>
        </w:rPr>
        <w:t xml:space="preserve"> See United States v. White</w:t>
      </w:r>
      <w:r w:rsidRPr="0094434E">
        <w:t>, 936 F.2d 1326, 1329 (D.C. Cir. 1991) (holding a hung verdict for making false statements on an application for a U.S. passport would not have been accompanied by an acquittal of possessing an illegal birth certificate with intent to defraud the U.S. if the jury truly believed he was not guilty, thus the hung verdict was a mistrial and allowed for a second prosecution).</w:t>
      </w:r>
    </w:p>
    <w:p w14:paraId="085B1D6A" w14:textId="77777777" w:rsidR="0094434E" w:rsidRPr="0094434E" w:rsidRDefault="0094434E" w:rsidP="0094434E">
      <w:pPr>
        <w:ind w:firstLine="360"/>
        <w:jc w:val="both"/>
      </w:pPr>
      <w:r w:rsidRPr="0094434E">
        <w:rPr>
          <w:vertAlign w:val="superscript"/>
        </w:rPr>
        <w:t>142</w:t>
      </w:r>
      <w:r w:rsidRPr="0094434E">
        <w:rPr>
          <w:i/>
        </w:rPr>
        <w:t xml:space="preserve"> Yeager</w:t>
      </w:r>
      <w:r w:rsidRPr="0094434E">
        <w:t xml:space="preserve">, 557 U.S. at 117 (holding hung counts accompanied with acquittals in same verdict makes it “impossible” to decide, with certainty, what the jury determined and therefore hung counts must bar collateral estoppel effects); </w:t>
      </w:r>
      <w:r w:rsidRPr="0094434E">
        <w:rPr>
          <w:i/>
        </w:rPr>
        <w:t>see</w:t>
      </w:r>
      <w:r w:rsidRPr="0094434E">
        <w:t xml:space="preserve"> </w:t>
      </w:r>
      <w:r w:rsidRPr="0094434E">
        <w:rPr>
          <w:i/>
        </w:rPr>
        <w:t>United States v. Larkin</w:t>
      </w:r>
      <w:r w:rsidRPr="0094434E">
        <w:t xml:space="preserve">, 611 F.2d 585, 586 (5th Cir. 1980) (holding collateral estoppel not applicable for retrial on hung counts; an acquittal on counts for vicarious liability and hiding funds precluded a retrial for conspiring to embezzle funds and falsify funds in the manner alleged in acquitted counts, but remaining hung counts did </w:t>
      </w:r>
      <w:r w:rsidRPr="0094434E">
        <w:rPr>
          <w:i/>
        </w:rPr>
        <w:t>not</w:t>
      </w:r>
      <w:r w:rsidRPr="0094434E">
        <w:t xml:space="preserve"> preclude retrial for conspiracy to embezzle and falsify on hung counts) (emphasis added); </w:t>
      </w:r>
      <w:r w:rsidRPr="0094434E">
        <w:rPr>
          <w:i/>
        </w:rPr>
        <w:t>United States v. Howe</w:t>
      </w:r>
      <w:r w:rsidRPr="0094434E">
        <w:t xml:space="preserve">, 590 F.3d 552, 560 (8th Cir. 2009) (holding there is no basis for collateral estoppel to bar a retrial for kidnapping and conspiracy after acquittals of felony murder and carrying a gun for violent crime charges); </w:t>
      </w:r>
      <w:r w:rsidRPr="0094434E">
        <w:rPr>
          <w:i/>
        </w:rPr>
        <w:t>United States v. Aguilar-</w:t>
      </w:r>
      <w:proofErr w:type="spellStart"/>
      <w:r w:rsidRPr="0094434E">
        <w:rPr>
          <w:i/>
        </w:rPr>
        <w:t>Aranceta</w:t>
      </w:r>
      <w:proofErr w:type="spellEnd"/>
      <w:r w:rsidRPr="0094434E">
        <w:t xml:space="preserve">, 957 F.2d 18, 23-25 (1d Cir. 1992) (abrogated in part by </w:t>
      </w:r>
      <w:r w:rsidRPr="0094434E">
        <w:rPr>
          <w:i/>
        </w:rPr>
        <w:t>Yeager</w:t>
      </w:r>
      <w:r w:rsidRPr="0094434E">
        <w:t xml:space="preserve">) (holding a hung verdict that defendant knowingly possessed cocaine could be retried regardless of an acquittal for possession of cocaine with intent to distribute because the jury </w:t>
      </w:r>
      <w:r w:rsidRPr="0094434E">
        <w:rPr>
          <w:i/>
        </w:rPr>
        <w:t>could have</w:t>
      </w:r>
      <w:r w:rsidRPr="0094434E">
        <w:t xml:space="preserve"> found, although defendant knew it was cocaine, she didn’t import it, thus the </w:t>
      </w:r>
      <w:r w:rsidRPr="0094434E">
        <w:rPr>
          <w:i/>
        </w:rPr>
        <w:t>possibility</w:t>
      </w:r>
      <w:r w:rsidRPr="0094434E">
        <w:t xml:space="preserve"> that the fact was determined, but not necessarily determined in the previous trial does not prevent re-examination of the issue) (emphasis added); </w:t>
      </w:r>
      <w:r w:rsidRPr="0094434E">
        <w:rPr>
          <w:i/>
        </w:rPr>
        <w:t>United States v. White</w:t>
      </w:r>
      <w:r w:rsidRPr="0094434E">
        <w:t xml:space="preserve">, 936 F.2d 1326, 1330 (D.C. Cir. 1991) (abrogated in part by </w:t>
      </w:r>
      <w:r w:rsidRPr="0094434E">
        <w:rPr>
          <w:i/>
        </w:rPr>
        <w:t>Yeager</w:t>
      </w:r>
      <w:r w:rsidRPr="0094434E">
        <w:t xml:space="preserve">) (holding double jeopardy improper in precluding a second indictment of related charges to an acquitted charge). </w:t>
      </w:r>
    </w:p>
    <w:p w14:paraId="2A842BB9" w14:textId="77777777" w:rsidR="0094434E" w:rsidRPr="0094434E" w:rsidRDefault="0094434E" w:rsidP="0094434E">
      <w:pPr>
        <w:ind w:firstLine="360"/>
        <w:jc w:val="both"/>
      </w:pPr>
      <w:r w:rsidRPr="0094434E">
        <w:rPr>
          <w:vertAlign w:val="superscript"/>
        </w:rPr>
        <w:t>143</w:t>
      </w:r>
      <w:r w:rsidRPr="0094434E">
        <w:rPr>
          <w:i/>
        </w:rPr>
        <w:t xml:space="preserve"> Yeager v. United </w:t>
      </w:r>
      <w:r w:rsidRPr="0094434E">
        <w:t xml:space="preserve">States, 557 U.S. 110, 116 (2009); </w:t>
      </w:r>
      <w:r w:rsidRPr="0094434E">
        <w:rPr>
          <w:i/>
        </w:rPr>
        <w:t>United States v. Howe</w:t>
      </w:r>
      <w:r w:rsidRPr="0094434E">
        <w:t>, 590 F.3d 552, 560 (8th Cir. 2009).</w:t>
      </w:r>
    </w:p>
    <w:p w14:paraId="2B8E253C" w14:textId="77777777" w:rsidR="0094434E" w:rsidRPr="0094434E" w:rsidRDefault="0094434E" w:rsidP="0094434E">
      <w:pPr>
        <w:ind w:firstLine="360"/>
        <w:jc w:val="both"/>
        <w:rPr>
          <w:i/>
        </w:rPr>
      </w:pPr>
      <w:r w:rsidRPr="0094434E">
        <w:rPr>
          <w:vertAlign w:val="superscript"/>
        </w:rPr>
        <w:t>144</w:t>
      </w:r>
      <w:r w:rsidRPr="0094434E">
        <w:rPr>
          <w:i/>
        </w:rPr>
        <w:t xml:space="preserve"> United States v. Powell</w:t>
      </w:r>
      <w:r w:rsidRPr="0094434E">
        <w:t xml:space="preserve">, 469 U.S. 57, 63-69 (1984) (upholding a jury verdict acquitting a defendant for conspiracy to possess cocaine and possession of cocaine accompanied by a guilty conviction of using a telephone to facilitate those previous two offenses). </w:t>
      </w:r>
    </w:p>
    <w:p w14:paraId="07373E26" w14:textId="77777777" w:rsidR="0094434E" w:rsidRPr="0094434E" w:rsidRDefault="0094434E" w:rsidP="0094434E">
      <w:pPr>
        <w:ind w:firstLine="360"/>
        <w:jc w:val="both"/>
        <w:rPr>
          <w:i/>
        </w:rPr>
      </w:pPr>
      <w:r w:rsidRPr="0094434E">
        <w:rPr>
          <w:vertAlign w:val="superscript"/>
        </w:rPr>
        <w:t>145</w:t>
      </w:r>
      <w:r w:rsidRPr="0094434E">
        <w:rPr>
          <w:i/>
        </w:rPr>
        <w:t xml:space="preserve"> Id. </w:t>
      </w:r>
      <w:r w:rsidRPr="0094434E">
        <w:t>at 69.</w:t>
      </w:r>
      <w:r w:rsidRPr="0094434E">
        <w:rPr>
          <w:i/>
        </w:rPr>
        <w:t xml:space="preserve"> </w:t>
      </w:r>
    </w:p>
    <w:p w14:paraId="6D57F8FD" w14:textId="77777777" w:rsidR="0094434E" w:rsidRPr="0094434E" w:rsidRDefault="0094434E" w:rsidP="0094434E">
      <w:pPr>
        <w:ind w:firstLine="360"/>
        <w:jc w:val="both"/>
      </w:pPr>
      <w:r w:rsidRPr="0094434E">
        <w:rPr>
          <w:vertAlign w:val="superscript"/>
        </w:rPr>
        <w:t>146</w:t>
      </w:r>
      <w:r w:rsidRPr="0094434E">
        <w:rPr>
          <w:i/>
        </w:rPr>
        <w:t xml:space="preserve"> Id. </w:t>
      </w:r>
      <w:r w:rsidRPr="0094434E">
        <w:t>at 68.</w:t>
      </w:r>
    </w:p>
    <w:p w14:paraId="62F80329" w14:textId="77777777" w:rsidR="0094434E" w:rsidRPr="0094434E" w:rsidRDefault="0094434E" w:rsidP="0094434E">
      <w:pPr>
        <w:ind w:firstLine="360"/>
        <w:jc w:val="both"/>
        <w:rPr>
          <w:i/>
        </w:rPr>
      </w:pPr>
      <w:r w:rsidRPr="0094434E">
        <w:rPr>
          <w:vertAlign w:val="superscript"/>
        </w:rPr>
        <w:t>147</w:t>
      </w:r>
      <w:r w:rsidRPr="0094434E">
        <w:rPr>
          <w:i/>
        </w:rPr>
        <w:t xml:space="preserve"> Powell </w:t>
      </w:r>
      <w:r w:rsidRPr="0094434E">
        <w:t xml:space="preserve">469 U.S. at 59. (1984) (holding the </w:t>
      </w:r>
      <w:r w:rsidRPr="0094434E">
        <w:rPr>
          <w:i/>
        </w:rPr>
        <w:t xml:space="preserve">Dunn </w:t>
      </w:r>
      <w:r w:rsidRPr="0094434E">
        <w:t>rule that a defendant convicted by a jury on one count can not be able to “attack that conviction” solely because it is inconsistent with an acquittal and can not be rationally reconciled);</w:t>
      </w:r>
      <w:r w:rsidRPr="0094434E">
        <w:rPr>
          <w:color w:val="1C1C1C"/>
        </w:rPr>
        <w:t xml:space="preserve"> </w:t>
      </w:r>
      <w:r w:rsidRPr="0094434E">
        <w:rPr>
          <w:i/>
        </w:rPr>
        <w:t>Dunn v. United States</w:t>
      </w:r>
      <w:r w:rsidRPr="0094434E">
        <w:t>, 284 U.S. 390, 394 (1932) (upholding a conviction because consistency in a verdict is not necessary when a defendant charged with of liquor nuisance, illegal possession of liquor, and illegal sale of liquor, was only convicted of liquor nuisance and acquitted for remaining two charges).</w:t>
      </w:r>
    </w:p>
    <w:p w14:paraId="5F9E2278" w14:textId="77777777" w:rsidR="0094434E" w:rsidRPr="0094434E" w:rsidRDefault="0094434E" w:rsidP="0094434E">
      <w:pPr>
        <w:ind w:firstLine="360"/>
        <w:jc w:val="both"/>
        <w:rPr>
          <w:i/>
        </w:rPr>
      </w:pPr>
      <w:r w:rsidRPr="0094434E">
        <w:rPr>
          <w:vertAlign w:val="superscript"/>
        </w:rPr>
        <w:t>148</w:t>
      </w:r>
      <w:r w:rsidRPr="0094434E">
        <w:rPr>
          <w:i/>
        </w:rPr>
        <w:t xml:space="preserve"> Id.</w:t>
      </w:r>
      <w:r w:rsidRPr="0094434E">
        <w:t xml:space="preserve"> at 64.</w:t>
      </w:r>
      <w:r w:rsidRPr="0094434E">
        <w:rPr>
          <w:i/>
        </w:rPr>
        <w:t xml:space="preserve"> </w:t>
      </w:r>
    </w:p>
    <w:p w14:paraId="509D48FC" w14:textId="77777777" w:rsidR="0094434E" w:rsidRPr="0094434E" w:rsidRDefault="0094434E" w:rsidP="0094434E">
      <w:pPr>
        <w:ind w:firstLine="360"/>
        <w:jc w:val="both"/>
        <w:rPr>
          <w:i/>
        </w:rPr>
      </w:pPr>
      <w:r w:rsidRPr="0094434E">
        <w:rPr>
          <w:vertAlign w:val="superscript"/>
        </w:rPr>
        <w:t>149</w:t>
      </w:r>
      <w:r w:rsidRPr="0094434E">
        <w:rPr>
          <w:i/>
        </w:rPr>
        <w:t xml:space="preserve"> Id. </w:t>
      </w:r>
    </w:p>
    <w:p w14:paraId="3D05BAE5" w14:textId="77777777" w:rsidR="0094434E" w:rsidRPr="0094434E" w:rsidRDefault="0094434E" w:rsidP="0094434E">
      <w:pPr>
        <w:ind w:firstLine="360"/>
        <w:jc w:val="both"/>
        <w:rPr>
          <w:i/>
        </w:rPr>
      </w:pPr>
      <w:r w:rsidRPr="0094434E">
        <w:rPr>
          <w:vertAlign w:val="superscript"/>
        </w:rPr>
        <w:t>150</w:t>
      </w:r>
      <w:r w:rsidRPr="0094434E">
        <w:rPr>
          <w:i/>
        </w:rPr>
        <w:t xml:space="preserve"> Id. </w:t>
      </w:r>
    </w:p>
    <w:p w14:paraId="1FDFCABF" w14:textId="77777777" w:rsidR="0094434E" w:rsidRPr="0094434E" w:rsidRDefault="0094434E" w:rsidP="0094434E">
      <w:pPr>
        <w:ind w:firstLine="360"/>
        <w:jc w:val="both"/>
      </w:pPr>
      <w:r w:rsidRPr="0094434E">
        <w:rPr>
          <w:vertAlign w:val="superscript"/>
        </w:rPr>
        <w:t>151</w:t>
      </w:r>
      <w:r w:rsidRPr="0094434E">
        <w:rPr>
          <w:i/>
        </w:rPr>
        <w:t xml:space="preserve"> See Dowling v. United States</w:t>
      </w:r>
      <w:r w:rsidRPr="0094434E">
        <w:t xml:space="preserve">, 493 U.S. 342, 348-49 (1990); </w:t>
      </w:r>
      <w:r w:rsidRPr="0094434E">
        <w:rPr>
          <w:i/>
        </w:rPr>
        <w:t>Charles v. Hickman</w:t>
      </w:r>
      <w:r w:rsidRPr="0094434E">
        <w:t>, 228 F.3d 981, 986-87 (9th Cir. 2000).</w:t>
      </w:r>
    </w:p>
    <w:p w14:paraId="6771B5E9" w14:textId="77777777" w:rsidR="0094434E" w:rsidRPr="0094434E" w:rsidRDefault="0094434E" w:rsidP="0094434E">
      <w:pPr>
        <w:ind w:firstLine="360"/>
        <w:jc w:val="both"/>
        <w:rPr>
          <w:i/>
        </w:rPr>
      </w:pPr>
      <w:r w:rsidRPr="0094434E">
        <w:rPr>
          <w:vertAlign w:val="superscript"/>
        </w:rPr>
        <w:t>152</w:t>
      </w:r>
      <w:r w:rsidRPr="0094434E">
        <w:rPr>
          <w:i/>
        </w:rPr>
        <w:t xml:space="preserve"> Dowling v. United States</w:t>
      </w:r>
      <w:r w:rsidRPr="0094434E">
        <w:t>, 493 U.S. 342, 348-49 (1990).</w:t>
      </w:r>
    </w:p>
    <w:p w14:paraId="105C9226" w14:textId="77777777" w:rsidR="0094434E" w:rsidRPr="0094434E" w:rsidRDefault="0094434E" w:rsidP="0094434E">
      <w:pPr>
        <w:ind w:firstLine="360"/>
        <w:jc w:val="both"/>
        <w:rPr>
          <w:i/>
        </w:rPr>
      </w:pPr>
      <w:r w:rsidRPr="0094434E">
        <w:rPr>
          <w:vertAlign w:val="superscript"/>
        </w:rPr>
        <w:t>153</w:t>
      </w:r>
      <w:r w:rsidRPr="0094434E">
        <w:rPr>
          <w:i/>
        </w:rPr>
        <w:t xml:space="preserve"> Id.</w:t>
      </w:r>
    </w:p>
    <w:p w14:paraId="4A5F81DD" w14:textId="77777777" w:rsidR="0094434E" w:rsidRPr="0094434E" w:rsidRDefault="0094434E" w:rsidP="0094434E">
      <w:pPr>
        <w:ind w:firstLine="360"/>
        <w:jc w:val="both"/>
      </w:pPr>
      <w:r w:rsidRPr="0094434E">
        <w:rPr>
          <w:vertAlign w:val="superscript"/>
        </w:rPr>
        <w:t>154</w:t>
      </w:r>
      <w:r w:rsidRPr="0094434E">
        <w:rPr>
          <w:i/>
        </w:rPr>
        <w:t xml:space="preserve"> Id. </w:t>
      </w:r>
      <w:r w:rsidRPr="0094434E">
        <w:t>at 344.</w:t>
      </w:r>
    </w:p>
    <w:p w14:paraId="4D05CEC1" w14:textId="77777777" w:rsidR="0094434E" w:rsidRPr="0094434E" w:rsidRDefault="0094434E" w:rsidP="0094434E">
      <w:pPr>
        <w:ind w:firstLine="360"/>
        <w:jc w:val="both"/>
        <w:rPr>
          <w:i/>
        </w:rPr>
      </w:pPr>
      <w:r w:rsidRPr="0094434E">
        <w:rPr>
          <w:vertAlign w:val="superscript"/>
        </w:rPr>
        <w:t>155</w:t>
      </w:r>
      <w:r w:rsidRPr="0094434E">
        <w:rPr>
          <w:i/>
        </w:rPr>
        <w:t xml:space="preserve"> Id. </w:t>
      </w:r>
    </w:p>
    <w:p w14:paraId="72D9A949" w14:textId="77777777" w:rsidR="0094434E" w:rsidRPr="0094434E" w:rsidRDefault="0094434E" w:rsidP="0094434E">
      <w:pPr>
        <w:ind w:firstLine="360"/>
        <w:jc w:val="both"/>
      </w:pPr>
      <w:r w:rsidRPr="0094434E">
        <w:rPr>
          <w:vertAlign w:val="superscript"/>
        </w:rPr>
        <w:t>156</w:t>
      </w:r>
      <w:r w:rsidRPr="0094434E">
        <w:rPr>
          <w:i/>
        </w:rPr>
        <w:t xml:space="preserve"> Id. </w:t>
      </w:r>
      <w:r w:rsidRPr="0094434E">
        <w:t>at 342-43.</w:t>
      </w:r>
    </w:p>
    <w:p w14:paraId="23405A4B" w14:textId="77777777" w:rsidR="0094434E" w:rsidRPr="0094434E" w:rsidRDefault="0094434E" w:rsidP="0094434E">
      <w:pPr>
        <w:ind w:firstLine="360"/>
        <w:jc w:val="both"/>
      </w:pPr>
      <w:r w:rsidRPr="0094434E">
        <w:rPr>
          <w:vertAlign w:val="superscript"/>
        </w:rPr>
        <w:t>157</w:t>
      </w:r>
      <w:r w:rsidRPr="0094434E">
        <w:rPr>
          <w:i/>
        </w:rPr>
        <w:t xml:space="preserve"> Id. </w:t>
      </w:r>
      <w:r w:rsidRPr="0094434E">
        <w:t>at 349.</w:t>
      </w:r>
    </w:p>
    <w:p w14:paraId="76D4C3FD" w14:textId="77777777" w:rsidR="0094434E" w:rsidRPr="0094434E" w:rsidRDefault="0094434E" w:rsidP="0094434E">
      <w:pPr>
        <w:ind w:firstLine="360"/>
        <w:jc w:val="both"/>
      </w:pPr>
      <w:r w:rsidRPr="0094434E">
        <w:rPr>
          <w:vertAlign w:val="superscript"/>
        </w:rPr>
        <w:t>158</w:t>
      </w:r>
      <w:r w:rsidRPr="0094434E">
        <w:rPr>
          <w:i/>
        </w:rPr>
        <w:t xml:space="preserve"> Id. </w:t>
      </w:r>
      <w:r w:rsidRPr="0094434E">
        <w:t xml:space="preserve">at 348-49 (emphasis added). </w:t>
      </w:r>
    </w:p>
    <w:p w14:paraId="5B6FAB75" w14:textId="77777777" w:rsidR="0094434E" w:rsidRPr="0094434E" w:rsidRDefault="0094434E" w:rsidP="0094434E">
      <w:pPr>
        <w:ind w:firstLine="360"/>
        <w:jc w:val="both"/>
      </w:pPr>
      <w:r w:rsidRPr="0094434E">
        <w:rPr>
          <w:vertAlign w:val="superscript"/>
        </w:rPr>
        <w:t xml:space="preserve">159 </w:t>
      </w:r>
      <w:proofErr w:type="spellStart"/>
      <w:r w:rsidRPr="0094434E">
        <w:t>BallotPedia</w:t>
      </w:r>
      <w:proofErr w:type="spellEnd"/>
      <w:r w:rsidRPr="0094434E">
        <w:t xml:space="preserve">: The Encyclopedia of American Politics, http://www.supremecourt.gov/qp/15-00537qp.pdf (last visited July 8, 2016). </w:t>
      </w:r>
    </w:p>
    <w:p w14:paraId="66118CBB" w14:textId="77777777" w:rsidR="0094434E" w:rsidRPr="0094434E" w:rsidRDefault="0094434E" w:rsidP="0094434E">
      <w:pPr>
        <w:ind w:firstLine="360"/>
        <w:jc w:val="both"/>
      </w:pPr>
      <w:r w:rsidRPr="0094434E">
        <w:rPr>
          <w:vertAlign w:val="superscript"/>
        </w:rPr>
        <w:t xml:space="preserve">160 </w:t>
      </w:r>
      <w:r w:rsidRPr="0094434E">
        <w:rPr>
          <w:i/>
        </w:rPr>
        <w:t xml:space="preserve"> Ashe</w:t>
      </w:r>
      <w:r w:rsidRPr="0094434E">
        <w:t xml:space="preserve">, 397 U.S. at 447. </w:t>
      </w:r>
    </w:p>
    <w:p w14:paraId="4A50CAFC" w14:textId="77777777" w:rsidR="0094434E" w:rsidRPr="0094434E" w:rsidRDefault="0094434E" w:rsidP="0094434E">
      <w:pPr>
        <w:ind w:firstLine="360"/>
        <w:jc w:val="both"/>
      </w:pPr>
      <w:r w:rsidRPr="0094434E">
        <w:rPr>
          <w:vertAlign w:val="superscript"/>
        </w:rPr>
        <w:t>161</w:t>
      </w:r>
      <w:r w:rsidRPr="0094434E">
        <w:rPr>
          <w:i/>
        </w:rPr>
        <w:t xml:space="preserve"> Yeager v. United States</w:t>
      </w:r>
      <w:r w:rsidRPr="0094434E">
        <w:t xml:space="preserve">, 557 U.S. 110, 122-23 (2009). </w:t>
      </w:r>
    </w:p>
    <w:p w14:paraId="1887F25A" w14:textId="77777777" w:rsidR="0094434E" w:rsidRPr="0094434E" w:rsidRDefault="0094434E" w:rsidP="0094434E">
      <w:pPr>
        <w:ind w:firstLine="360"/>
        <w:jc w:val="both"/>
      </w:pPr>
      <w:r w:rsidRPr="0094434E">
        <w:rPr>
          <w:vertAlign w:val="superscript"/>
        </w:rPr>
        <w:t>162</w:t>
      </w:r>
      <w:r w:rsidRPr="0094434E">
        <w:rPr>
          <w:i/>
        </w:rPr>
        <w:t xml:space="preserve"> United States v. Citron</w:t>
      </w:r>
      <w:r w:rsidRPr="0094434E">
        <w:t>, 853 F.2d 1055, 1058 (2d Cir. 1988).</w:t>
      </w:r>
    </w:p>
    <w:p w14:paraId="32692124" w14:textId="77777777" w:rsidR="0094434E" w:rsidRPr="0094434E" w:rsidRDefault="0094434E" w:rsidP="0094434E">
      <w:pPr>
        <w:ind w:firstLine="360"/>
        <w:jc w:val="both"/>
      </w:pPr>
      <w:r w:rsidRPr="0094434E">
        <w:rPr>
          <w:vertAlign w:val="superscript"/>
        </w:rPr>
        <w:t>163</w:t>
      </w:r>
      <w:r w:rsidRPr="0094434E">
        <w:t xml:space="preserve"> </w:t>
      </w:r>
      <w:r w:rsidRPr="0094434E">
        <w:rPr>
          <w:i/>
        </w:rPr>
        <w:t>United States v. Powell</w:t>
      </w:r>
      <w:r w:rsidRPr="0094434E">
        <w:t xml:space="preserve">, 469 U.S. 57, 69 (1984). </w:t>
      </w:r>
    </w:p>
    <w:p w14:paraId="06292FA2" w14:textId="77777777" w:rsidR="0094434E" w:rsidRPr="0094434E" w:rsidRDefault="0094434E" w:rsidP="0094434E">
      <w:pPr>
        <w:ind w:firstLine="360"/>
        <w:jc w:val="both"/>
      </w:pPr>
      <w:r w:rsidRPr="0094434E">
        <w:rPr>
          <w:vertAlign w:val="superscript"/>
        </w:rPr>
        <w:t>164</w:t>
      </w:r>
      <w:r w:rsidRPr="0094434E">
        <w:rPr>
          <w:i/>
        </w:rPr>
        <w:t xml:space="preserve"> Bravo-Fernandez</w:t>
      </w:r>
      <w:r w:rsidRPr="0094434E">
        <w:t xml:space="preserve">, 790 F.3d at 43. </w:t>
      </w:r>
    </w:p>
    <w:p w14:paraId="75150D40" w14:textId="77777777" w:rsidR="0094434E" w:rsidRPr="0094434E" w:rsidRDefault="0094434E" w:rsidP="0094434E">
      <w:pPr>
        <w:ind w:firstLine="360"/>
        <w:jc w:val="both"/>
      </w:pPr>
      <w:r w:rsidRPr="0094434E">
        <w:rPr>
          <w:vertAlign w:val="superscript"/>
        </w:rPr>
        <w:t>165</w:t>
      </w:r>
      <w:r w:rsidRPr="0094434E">
        <w:rPr>
          <w:i/>
        </w:rPr>
        <w:t xml:space="preserve"> Id.</w:t>
      </w:r>
      <w:r w:rsidRPr="0094434E">
        <w:t xml:space="preserve"> </w:t>
      </w:r>
    </w:p>
    <w:p w14:paraId="43AA4151" w14:textId="77777777" w:rsidR="0094434E" w:rsidRPr="0094434E" w:rsidRDefault="0094434E" w:rsidP="0094434E">
      <w:pPr>
        <w:ind w:firstLine="360"/>
        <w:jc w:val="both"/>
      </w:pPr>
      <w:r w:rsidRPr="0094434E">
        <w:rPr>
          <w:vertAlign w:val="superscript"/>
        </w:rPr>
        <w:t>166</w:t>
      </w:r>
      <w:r w:rsidRPr="0094434E">
        <w:rPr>
          <w:i/>
        </w:rPr>
        <w:t xml:space="preserve"> Id.</w:t>
      </w:r>
      <w:r w:rsidRPr="0094434E">
        <w:t xml:space="preserve"> </w:t>
      </w:r>
    </w:p>
    <w:p w14:paraId="34CE842A" w14:textId="4B068ECC" w:rsidR="0094434E" w:rsidRPr="0094434E" w:rsidRDefault="0094434E" w:rsidP="0094434E">
      <w:pPr>
        <w:ind w:firstLine="360"/>
        <w:jc w:val="both"/>
      </w:pPr>
      <w:r w:rsidRPr="0094434E">
        <w:rPr>
          <w:vertAlign w:val="superscript"/>
        </w:rPr>
        <w:t>167</w:t>
      </w:r>
      <w:r w:rsidRPr="0094434E">
        <w:rPr>
          <w:i/>
        </w:rPr>
        <w:t xml:space="preserve"> Id.</w:t>
      </w:r>
      <w:r w:rsidRPr="0094434E">
        <w:t xml:space="preserve">; </w:t>
      </w:r>
      <w:r w:rsidRPr="0094434E">
        <w:rPr>
          <w:i/>
        </w:rPr>
        <w:t>Ashe</w:t>
      </w:r>
      <w:r w:rsidRPr="0094434E">
        <w:t xml:space="preserve">, 397 U.S. at 477. </w:t>
      </w:r>
    </w:p>
    <w:sectPr w:rsidR="0094434E" w:rsidRPr="0094434E" w:rsidSect="004F2839">
      <w:headerReference w:type="even" r:id="rId9"/>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DA671A" w14:textId="77777777" w:rsidR="004F4A7F" w:rsidRDefault="004F4A7F" w:rsidP="00415F0B">
      <w:r>
        <w:separator/>
      </w:r>
    </w:p>
  </w:endnote>
  <w:endnote w:type="continuationSeparator" w:id="0">
    <w:p w14:paraId="05802A88" w14:textId="77777777" w:rsidR="004F4A7F" w:rsidRDefault="004F4A7F" w:rsidP="00415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noPro">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0E283" w14:textId="77777777" w:rsidR="004F4A7F" w:rsidRDefault="004F4A7F" w:rsidP="00415F0B">
      <w:r>
        <w:separator/>
      </w:r>
    </w:p>
  </w:footnote>
  <w:footnote w:type="continuationSeparator" w:id="0">
    <w:p w14:paraId="74BA4E80" w14:textId="77777777" w:rsidR="004F4A7F" w:rsidRDefault="004F4A7F" w:rsidP="00415F0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40BD18" w14:textId="77777777" w:rsidR="004F4A7F" w:rsidRDefault="004F4A7F" w:rsidP="00415F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9A2FA36" w14:textId="77777777" w:rsidR="004F4A7F" w:rsidRDefault="004F4A7F" w:rsidP="00415F0B">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88B1E1" w14:textId="77777777" w:rsidR="004F4A7F" w:rsidRDefault="004F4A7F" w:rsidP="00415F0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07E89">
      <w:rPr>
        <w:rStyle w:val="PageNumber"/>
        <w:noProof/>
      </w:rPr>
      <w:t>17</w:t>
    </w:r>
    <w:r>
      <w:rPr>
        <w:rStyle w:val="PageNumber"/>
      </w:rPr>
      <w:fldChar w:fldCharType="end"/>
    </w:r>
  </w:p>
  <w:p w14:paraId="531CF31B" w14:textId="77777777" w:rsidR="004F4A7F" w:rsidRPr="00415F0B" w:rsidRDefault="004F4A7F" w:rsidP="00415F0B">
    <w:pPr>
      <w:pStyle w:val="Header"/>
      <w:ind w:right="360"/>
      <w:jc w:val="center"/>
      <w:rPr>
        <w:smallCaps/>
      </w:rPr>
    </w:pPr>
    <w:r w:rsidRPr="00415F0B">
      <w:rPr>
        <w:smallCaps/>
      </w:rPr>
      <w:t>American Journal of Trial Advocacy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1115D"/>
    <w:multiLevelType w:val="hybridMultilevel"/>
    <w:tmpl w:val="99D065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F0B"/>
    <w:rsid w:val="00011473"/>
    <w:rsid w:val="00011B4E"/>
    <w:rsid w:val="000120AB"/>
    <w:rsid w:val="00013034"/>
    <w:rsid w:val="000401E3"/>
    <w:rsid w:val="00043EAA"/>
    <w:rsid w:val="0005471F"/>
    <w:rsid w:val="00054860"/>
    <w:rsid w:val="00066195"/>
    <w:rsid w:val="00066B48"/>
    <w:rsid w:val="000703ED"/>
    <w:rsid w:val="0007321C"/>
    <w:rsid w:val="0007423D"/>
    <w:rsid w:val="000A0032"/>
    <w:rsid w:val="000A4317"/>
    <w:rsid w:val="000A7B67"/>
    <w:rsid w:val="000B24C6"/>
    <w:rsid w:val="000C24C7"/>
    <w:rsid w:val="000C381B"/>
    <w:rsid w:val="000C6934"/>
    <w:rsid w:val="000D101F"/>
    <w:rsid w:val="000D3B6E"/>
    <w:rsid w:val="000E08E6"/>
    <w:rsid w:val="000E1447"/>
    <w:rsid w:val="000E3649"/>
    <w:rsid w:val="000E4A59"/>
    <w:rsid w:val="000E5A61"/>
    <w:rsid w:val="000E776C"/>
    <w:rsid w:val="000F0D30"/>
    <w:rsid w:val="000F5FD5"/>
    <w:rsid w:val="0010631E"/>
    <w:rsid w:val="00115DA3"/>
    <w:rsid w:val="0011690C"/>
    <w:rsid w:val="00135C47"/>
    <w:rsid w:val="00136242"/>
    <w:rsid w:val="00142A03"/>
    <w:rsid w:val="00145815"/>
    <w:rsid w:val="00154D9C"/>
    <w:rsid w:val="0015781E"/>
    <w:rsid w:val="00166C6E"/>
    <w:rsid w:val="001717D8"/>
    <w:rsid w:val="0018097E"/>
    <w:rsid w:val="00180EBF"/>
    <w:rsid w:val="00181F2C"/>
    <w:rsid w:val="0018269F"/>
    <w:rsid w:val="00183A1D"/>
    <w:rsid w:val="00185E9A"/>
    <w:rsid w:val="00195444"/>
    <w:rsid w:val="00195C8A"/>
    <w:rsid w:val="001B6E40"/>
    <w:rsid w:val="001C1D11"/>
    <w:rsid w:val="001D0ADD"/>
    <w:rsid w:val="001F5F42"/>
    <w:rsid w:val="001F645C"/>
    <w:rsid w:val="002055E2"/>
    <w:rsid w:val="00214834"/>
    <w:rsid w:val="00214D75"/>
    <w:rsid w:val="00223C53"/>
    <w:rsid w:val="002276C9"/>
    <w:rsid w:val="002319E2"/>
    <w:rsid w:val="00245C05"/>
    <w:rsid w:val="0025370D"/>
    <w:rsid w:val="00260696"/>
    <w:rsid w:val="00264B55"/>
    <w:rsid w:val="00271A19"/>
    <w:rsid w:val="00296878"/>
    <w:rsid w:val="002A1AED"/>
    <w:rsid w:val="002A2265"/>
    <w:rsid w:val="002A2303"/>
    <w:rsid w:val="002A4416"/>
    <w:rsid w:val="002B57C3"/>
    <w:rsid w:val="002C4605"/>
    <w:rsid w:val="002C4BB0"/>
    <w:rsid w:val="002C757D"/>
    <w:rsid w:val="002C7803"/>
    <w:rsid w:val="002D33B3"/>
    <w:rsid w:val="002D3A12"/>
    <w:rsid w:val="002E010C"/>
    <w:rsid w:val="002F10EC"/>
    <w:rsid w:val="002F1244"/>
    <w:rsid w:val="002F5722"/>
    <w:rsid w:val="002F7DEE"/>
    <w:rsid w:val="003009AC"/>
    <w:rsid w:val="00300B70"/>
    <w:rsid w:val="003058BC"/>
    <w:rsid w:val="00327182"/>
    <w:rsid w:val="00331E26"/>
    <w:rsid w:val="00332F5B"/>
    <w:rsid w:val="00334E69"/>
    <w:rsid w:val="00334F86"/>
    <w:rsid w:val="0033735F"/>
    <w:rsid w:val="00337FFA"/>
    <w:rsid w:val="00351087"/>
    <w:rsid w:val="00354714"/>
    <w:rsid w:val="00357A7C"/>
    <w:rsid w:val="00363152"/>
    <w:rsid w:val="003654EF"/>
    <w:rsid w:val="00365971"/>
    <w:rsid w:val="00366CDE"/>
    <w:rsid w:val="00376ABE"/>
    <w:rsid w:val="0038148E"/>
    <w:rsid w:val="003835E8"/>
    <w:rsid w:val="0038633D"/>
    <w:rsid w:val="0039674C"/>
    <w:rsid w:val="003A4B73"/>
    <w:rsid w:val="003B367F"/>
    <w:rsid w:val="003C1BEA"/>
    <w:rsid w:val="003D053E"/>
    <w:rsid w:val="003D7DE4"/>
    <w:rsid w:val="003E198D"/>
    <w:rsid w:val="003E5C49"/>
    <w:rsid w:val="003E787D"/>
    <w:rsid w:val="003E7F49"/>
    <w:rsid w:val="004039C0"/>
    <w:rsid w:val="004127D8"/>
    <w:rsid w:val="00414168"/>
    <w:rsid w:val="00415F0B"/>
    <w:rsid w:val="00424D53"/>
    <w:rsid w:val="0043449C"/>
    <w:rsid w:val="0043496E"/>
    <w:rsid w:val="00437A79"/>
    <w:rsid w:val="00442BB4"/>
    <w:rsid w:val="00463B39"/>
    <w:rsid w:val="00471865"/>
    <w:rsid w:val="004927D3"/>
    <w:rsid w:val="00493287"/>
    <w:rsid w:val="0049534A"/>
    <w:rsid w:val="004A07BC"/>
    <w:rsid w:val="004A087A"/>
    <w:rsid w:val="004A608A"/>
    <w:rsid w:val="004B0545"/>
    <w:rsid w:val="004B0FE9"/>
    <w:rsid w:val="004B1C72"/>
    <w:rsid w:val="004B3B64"/>
    <w:rsid w:val="004B5065"/>
    <w:rsid w:val="004B68B5"/>
    <w:rsid w:val="004D0156"/>
    <w:rsid w:val="004D0A27"/>
    <w:rsid w:val="004D5876"/>
    <w:rsid w:val="004E1699"/>
    <w:rsid w:val="004E480A"/>
    <w:rsid w:val="004F178E"/>
    <w:rsid w:val="004F2839"/>
    <w:rsid w:val="004F4A7F"/>
    <w:rsid w:val="004F7763"/>
    <w:rsid w:val="005218E7"/>
    <w:rsid w:val="00521F85"/>
    <w:rsid w:val="00524239"/>
    <w:rsid w:val="00525100"/>
    <w:rsid w:val="00526A6B"/>
    <w:rsid w:val="00536B21"/>
    <w:rsid w:val="00552C4D"/>
    <w:rsid w:val="0055389D"/>
    <w:rsid w:val="00576771"/>
    <w:rsid w:val="00576B0B"/>
    <w:rsid w:val="00577924"/>
    <w:rsid w:val="00577EB8"/>
    <w:rsid w:val="00580E22"/>
    <w:rsid w:val="005A1EA3"/>
    <w:rsid w:val="005A4087"/>
    <w:rsid w:val="005A6F8A"/>
    <w:rsid w:val="005B0AC9"/>
    <w:rsid w:val="005B6067"/>
    <w:rsid w:val="005B63BE"/>
    <w:rsid w:val="005B7298"/>
    <w:rsid w:val="005C3540"/>
    <w:rsid w:val="005E574E"/>
    <w:rsid w:val="005F0149"/>
    <w:rsid w:val="005F2EC7"/>
    <w:rsid w:val="005F33EE"/>
    <w:rsid w:val="005F6E79"/>
    <w:rsid w:val="006217CB"/>
    <w:rsid w:val="00623F9C"/>
    <w:rsid w:val="00635E75"/>
    <w:rsid w:val="006401F6"/>
    <w:rsid w:val="00642DED"/>
    <w:rsid w:val="00652384"/>
    <w:rsid w:val="0065568C"/>
    <w:rsid w:val="00680B6F"/>
    <w:rsid w:val="00683827"/>
    <w:rsid w:val="00683D63"/>
    <w:rsid w:val="00693EED"/>
    <w:rsid w:val="00696EBB"/>
    <w:rsid w:val="006A1CB1"/>
    <w:rsid w:val="006A73EA"/>
    <w:rsid w:val="006B1E87"/>
    <w:rsid w:val="006B2D17"/>
    <w:rsid w:val="006B5968"/>
    <w:rsid w:val="006B646F"/>
    <w:rsid w:val="006B68CB"/>
    <w:rsid w:val="006B6F33"/>
    <w:rsid w:val="006C176F"/>
    <w:rsid w:val="006C73B1"/>
    <w:rsid w:val="006C7EB1"/>
    <w:rsid w:val="006D3704"/>
    <w:rsid w:val="006E31C8"/>
    <w:rsid w:val="006E39BB"/>
    <w:rsid w:val="006E5E9A"/>
    <w:rsid w:val="006F0E1F"/>
    <w:rsid w:val="006F37C9"/>
    <w:rsid w:val="006F490C"/>
    <w:rsid w:val="0070357A"/>
    <w:rsid w:val="007039B1"/>
    <w:rsid w:val="00716BFF"/>
    <w:rsid w:val="00723E9C"/>
    <w:rsid w:val="00723ED1"/>
    <w:rsid w:val="0072431E"/>
    <w:rsid w:val="0073684C"/>
    <w:rsid w:val="007400E8"/>
    <w:rsid w:val="007446DB"/>
    <w:rsid w:val="00744C97"/>
    <w:rsid w:val="00745273"/>
    <w:rsid w:val="00756662"/>
    <w:rsid w:val="007616B3"/>
    <w:rsid w:val="00781CD4"/>
    <w:rsid w:val="0078426D"/>
    <w:rsid w:val="00790AC0"/>
    <w:rsid w:val="00795119"/>
    <w:rsid w:val="007A1ACC"/>
    <w:rsid w:val="007A2C8F"/>
    <w:rsid w:val="007A374A"/>
    <w:rsid w:val="007A3EAA"/>
    <w:rsid w:val="007A75D6"/>
    <w:rsid w:val="007A79EB"/>
    <w:rsid w:val="007B11B5"/>
    <w:rsid w:val="007E44F7"/>
    <w:rsid w:val="007E7901"/>
    <w:rsid w:val="007F3991"/>
    <w:rsid w:val="00813BC5"/>
    <w:rsid w:val="00825962"/>
    <w:rsid w:val="00831865"/>
    <w:rsid w:val="008322A7"/>
    <w:rsid w:val="00832776"/>
    <w:rsid w:val="0083741D"/>
    <w:rsid w:val="00846D89"/>
    <w:rsid w:val="00853A56"/>
    <w:rsid w:val="008579C2"/>
    <w:rsid w:val="00860FC4"/>
    <w:rsid w:val="00863546"/>
    <w:rsid w:val="008672B5"/>
    <w:rsid w:val="00867841"/>
    <w:rsid w:val="00872720"/>
    <w:rsid w:val="008776B0"/>
    <w:rsid w:val="008777EF"/>
    <w:rsid w:val="008824F7"/>
    <w:rsid w:val="00882622"/>
    <w:rsid w:val="00884A39"/>
    <w:rsid w:val="00887257"/>
    <w:rsid w:val="008B01C3"/>
    <w:rsid w:val="008B6691"/>
    <w:rsid w:val="008C1665"/>
    <w:rsid w:val="008C4AE7"/>
    <w:rsid w:val="008E0F74"/>
    <w:rsid w:val="008E72E3"/>
    <w:rsid w:val="008E75F5"/>
    <w:rsid w:val="008F1B65"/>
    <w:rsid w:val="008F5FFA"/>
    <w:rsid w:val="00905DD0"/>
    <w:rsid w:val="00912279"/>
    <w:rsid w:val="00914757"/>
    <w:rsid w:val="00915A16"/>
    <w:rsid w:val="00921C02"/>
    <w:rsid w:val="00931B2A"/>
    <w:rsid w:val="00931F6E"/>
    <w:rsid w:val="00934368"/>
    <w:rsid w:val="0094434E"/>
    <w:rsid w:val="009470AD"/>
    <w:rsid w:val="009542F4"/>
    <w:rsid w:val="0095764E"/>
    <w:rsid w:val="00965496"/>
    <w:rsid w:val="00970753"/>
    <w:rsid w:val="00976C59"/>
    <w:rsid w:val="00976D21"/>
    <w:rsid w:val="00976EA3"/>
    <w:rsid w:val="00990097"/>
    <w:rsid w:val="009935EA"/>
    <w:rsid w:val="009939BA"/>
    <w:rsid w:val="009A20A9"/>
    <w:rsid w:val="009A2362"/>
    <w:rsid w:val="009A30BF"/>
    <w:rsid w:val="009C5CFD"/>
    <w:rsid w:val="009D1BD0"/>
    <w:rsid w:val="009D4F0E"/>
    <w:rsid w:val="009D7204"/>
    <w:rsid w:val="009E0057"/>
    <w:rsid w:val="009E49A2"/>
    <w:rsid w:val="009F5C6B"/>
    <w:rsid w:val="00A02978"/>
    <w:rsid w:val="00A33149"/>
    <w:rsid w:val="00A34591"/>
    <w:rsid w:val="00A44672"/>
    <w:rsid w:val="00A45D2E"/>
    <w:rsid w:val="00A531F6"/>
    <w:rsid w:val="00A62F98"/>
    <w:rsid w:val="00A71D46"/>
    <w:rsid w:val="00A86A49"/>
    <w:rsid w:val="00A92264"/>
    <w:rsid w:val="00A9298E"/>
    <w:rsid w:val="00A9426E"/>
    <w:rsid w:val="00A96459"/>
    <w:rsid w:val="00AA4840"/>
    <w:rsid w:val="00AA4A05"/>
    <w:rsid w:val="00AB1D5C"/>
    <w:rsid w:val="00AB3B65"/>
    <w:rsid w:val="00AC1131"/>
    <w:rsid w:val="00AC2FBB"/>
    <w:rsid w:val="00AC5941"/>
    <w:rsid w:val="00AD73F5"/>
    <w:rsid w:val="00AE4C95"/>
    <w:rsid w:val="00AF2E4F"/>
    <w:rsid w:val="00AF40B7"/>
    <w:rsid w:val="00B007CD"/>
    <w:rsid w:val="00B02BA4"/>
    <w:rsid w:val="00B03B61"/>
    <w:rsid w:val="00B2117A"/>
    <w:rsid w:val="00B22F2A"/>
    <w:rsid w:val="00B26BD2"/>
    <w:rsid w:val="00B42AB7"/>
    <w:rsid w:val="00B43A54"/>
    <w:rsid w:val="00B47BD7"/>
    <w:rsid w:val="00B56EF4"/>
    <w:rsid w:val="00B71A50"/>
    <w:rsid w:val="00B80D36"/>
    <w:rsid w:val="00B823F5"/>
    <w:rsid w:val="00B90B1B"/>
    <w:rsid w:val="00B93500"/>
    <w:rsid w:val="00BA02DE"/>
    <w:rsid w:val="00BA7F70"/>
    <w:rsid w:val="00BC21AA"/>
    <w:rsid w:val="00BC50F0"/>
    <w:rsid w:val="00BD45AD"/>
    <w:rsid w:val="00BE0EA3"/>
    <w:rsid w:val="00BE406F"/>
    <w:rsid w:val="00BE571E"/>
    <w:rsid w:val="00BF11A0"/>
    <w:rsid w:val="00BF4CBF"/>
    <w:rsid w:val="00C01494"/>
    <w:rsid w:val="00C01CE6"/>
    <w:rsid w:val="00C072DF"/>
    <w:rsid w:val="00C1042E"/>
    <w:rsid w:val="00C17421"/>
    <w:rsid w:val="00C17757"/>
    <w:rsid w:val="00C21848"/>
    <w:rsid w:val="00C259D5"/>
    <w:rsid w:val="00C27BF6"/>
    <w:rsid w:val="00C31307"/>
    <w:rsid w:val="00C40A98"/>
    <w:rsid w:val="00C468E9"/>
    <w:rsid w:val="00C51359"/>
    <w:rsid w:val="00C60139"/>
    <w:rsid w:val="00C6054B"/>
    <w:rsid w:val="00C667E7"/>
    <w:rsid w:val="00C70C42"/>
    <w:rsid w:val="00C769CC"/>
    <w:rsid w:val="00C80E92"/>
    <w:rsid w:val="00C926A2"/>
    <w:rsid w:val="00C94395"/>
    <w:rsid w:val="00CB10B5"/>
    <w:rsid w:val="00CC311F"/>
    <w:rsid w:val="00CD4B71"/>
    <w:rsid w:val="00CE1646"/>
    <w:rsid w:val="00CE70D1"/>
    <w:rsid w:val="00CF3133"/>
    <w:rsid w:val="00CF6AAA"/>
    <w:rsid w:val="00D02472"/>
    <w:rsid w:val="00D07C3A"/>
    <w:rsid w:val="00D14373"/>
    <w:rsid w:val="00D22F16"/>
    <w:rsid w:val="00D23BDA"/>
    <w:rsid w:val="00D24F89"/>
    <w:rsid w:val="00D45D52"/>
    <w:rsid w:val="00D530E4"/>
    <w:rsid w:val="00D60A6C"/>
    <w:rsid w:val="00D61500"/>
    <w:rsid w:val="00D65188"/>
    <w:rsid w:val="00D6757B"/>
    <w:rsid w:val="00D73B0D"/>
    <w:rsid w:val="00D76DC7"/>
    <w:rsid w:val="00D80F52"/>
    <w:rsid w:val="00D8165D"/>
    <w:rsid w:val="00DA03D5"/>
    <w:rsid w:val="00DA2CA9"/>
    <w:rsid w:val="00DA5478"/>
    <w:rsid w:val="00DA7E0A"/>
    <w:rsid w:val="00DA7EAF"/>
    <w:rsid w:val="00DB368D"/>
    <w:rsid w:val="00DB3B19"/>
    <w:rsid w:val="00DD0D56"/>
    <w:rsid w:val="00DD1DB6"/>
    <w:rsid w:val="00DF3A78"/>
    <w:rsid w:val="00DF4F75"/>
    <w:rsid w:val="00E16E6E"/>
    <w:rsid w:val="00E23BE0"/>
    <w:rsid w:val="00E25949"/>
    <w:rsid w:val="00E25A5A"/>
    <w:rsid w:val="00E31262"/>
    <w:rsid w:val="00E50802"/>
    <w:rsid w:val="00E545E8"/>
    <w:rsid w:val="00E55E63"/>
    <w:rsid w:val="00E56BA8"/>
    <w:rsid w:val="00E773CE"/>
    <w:rsid w:val="00EA1942"/>
    <w:rsid w:val="00EA36F2"/>
    <w:rsid w:val="00EB2080"/>
    <w:rsid w:val="00EC1157"/>
    <w:rsid w:val="00EC7D0D"/>
    <w:rsid w:val="00ED02D3"/>
    <w:rsid w:val="00ED078F"/>
    <w:rsid w:val="00ED0AAE"/>
    <w:rsid w:val="00ED1FC4"/>
    <w:rsid w:val="00ED23BC"/>
    <w:rsid w:val="00ED40AB"/>
    <w:rsid w:val="00ED5551"/>
    <w:rsid w:val="00EF0433"/>
    <w:rsid w:val="00F066A7"/>
    <w:rsid w:val="00F07110"/>
    <w:rsid w:val="00F07E89"/>
    <w:rsid w:val="00F10431"/>
    <w:rsid w:val="00F12367"/>
    <w:rsid w:val="00F1587C"/>
    <w:rsid w:val="00F178F8"/>
    <w:rsid w:val="00F234E6"/>
    <w:rsid w:val="00F26492"/>
    <w:rsid w:val="00F27F98"/>
    <w:rsid w:val="00F34FFD"/>
    <w:rsid w:val="00F40BC3"/>
    <w:rsid w:val="00F4632A"/>
    <w:rsid w:val="00F52D06"/>
    <w:rsid w:val="00F54E48"/>
    <w:rsid w:val="00FA485D"/>
    <w:rsid w:val="00FA6E4C"/>
    <w:rsid w:val="00FB2642"/>
    <w:rsid w:val="00FC0C3E"/>
    <w:rsid w:val="00FC1043"/>
    <w:rsid w:val="00FD3B53"/>
    <w:rsid w:val="00FF0145"/>
    <w:rsid w:val="00FF14EB"/>
    <w:rsid w:val="00FF30D5"/>
    <w:rsid w:val="00FF3403"/>
    <w:rsid w:val="00FF4D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06664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F0B"/>
    <w:pPr>
      <w:tabs>
        <w:tab w:val="center" w:pos="4320"/>
        <w:tab w:val="right" w:pos="8640"/>
      </w:tabs>
    </w:pPr>
  </w:style>
  <w:style w:type="character" w:customStyle="1" w:styleId="HeaderChar">
    <w:name w:val="Header Char"/>
    <w:basedOn w:val="DefaultParagraphFont"/>
    <w:link w:val="Header"/>
    <w:uiPriority w:val="99"/>
    <w:rsid w:val="00415F0B"/>
  </w:style>
  <w:style w:type="character" w:styleId="PageNumber">
    <w:name w:val="page number"/>
    <w:basedOn w:val="DefaultParagraphFont"/>
    <w:uiPriority w:val="99"/>
    <w:semiHidden/>
    <w:unhideWhenUsed/>
    <w:rsid w:val="00415F0B"/>
  </w:style>
  <w:style w:type="paragraph" w:styleId="Footer">
    <w:name w:val="footer"/>
    <w:basedOn w:val="Normal"/>
    <w:link w:val="FooterChar"/>
    <w:uiPriority w:val="99"/>
    <w:unhideWhenUsed/>
    <w:rsid w:val="00415F0B"/>
    <w:pPr>
      <w:tabs>
        <w:tab w:val="center" w:pos="4320"/>
        <w:tab w:val="right" w:pos="8640"/>
      </w:tabs>
    </w:pPr>
  </w:style>
  <w:style w:type="character" w:customStyle="1" w:styleId="FooterChar">
    <w:name w:val="Footer Char"/>
    <w:basedOn w:val="DefaultParagraphFont"/>
    <w:link w:val="Footer"/>
    <w:uiPriority w:val="99"/>
    <w:rsid w:val="00415F0B"/>
  </w:style>
  <w:style w:type="character" w:styleId="Hyperlink">
    <w:name w:val="Hyperlink"/>
    <w:basedOn w:val="DefaultParagraphFont"/>
    <w:uiPriority w:val="99"/>
    <w:unhideWhenUsed/>
    <w:rsid w:val="00415F0B"/>
    <w:rPr>
      <w:color w:val="0000FF" w:themeColor="hyperlink"/>
      <w:u w:val="single"/>
    </w:rPr>
  </w:style>
  <w:style w:type="paragraph" w:styleId="ListParagraph">
    <w:name w:val="List Paragraph"/>
    <w:basedOn w:val="Normal"/>
    <w:uiPriority w:val="34"/>
    <w:qFormat/>
    <w:rsid w:val="004F178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5F0B"/>
    <w:pPr>
      <w:tabs>
        <w:tab w:val="center" w:pos="4320"/>
        <w:tab w:val="right" w:pos="8640"/>
      </w:tabs>
    </w:pPr>
  </w:style>
  <w:style w:type="character" w:customStyle="1" w:styleId="HeaderChar">
    <w:name w:val="Header Char"/>
    <w:basedOn w:val="DefaultParagraphFont"/>
    <w:link w:val="Header"/>
    <w:uiPriority w:val="99"/>
    <w:rsid w:val="00415F0B"/>
  </w:style>
  <w:style w:type="character" w:styleId="PageNumber">
    <w:name w:val="page number"/>
    <w:basedOn w:val="DefaultParagraphFont"/>
    <w:uiPriority w:val="99"/>
    <w:semiHidden/>
    <w:unhideWhenUsed/>
    <w:rsid w:val="00415F0B"/>
  </w:style>
  <w:style w:type="paragraph" w:styleId="Footer">
    <w:name w:val="footer"/>
    <w:basedOn w:val="Normal"/>
    <w:link w:val="FooterChar"/>
    <w:uiPriority w:val="99"/>
    <w:unhideWhenUsed/>
    <w:rsid w:val="00415F0B"/>
    <w:pPr>
      <w:tabs>
        <w:tab w:val="center" w:pos="4320"/>
        <w:tab w:val="right" w:pos="8640"/>
      </w:tabs>
    </w:pPr>
  </w:style>
  <w:style w:type="character" w:customStyle="1" w:styleId="FooterChar">
    <w:name w:val="Footer Char"/>
    <w:basedOn w:val="DefaultParagraphFont"/>
    <w:link w:val="Footer"/>
    <w:uiPriority w:val="99"/>
    <w:rsid w:val="00415F0B"/>
  </w:style>
  <w:style w:type="character" w:styleId="Hyperlink">
    <w:name w:val="Hyperlink"/>
    <w:basedOn w:val="DefaultParagraphFont"/>
    <w:uiPriority w:val="99"/>
    <w:unhideWhenUsed/>
    <w:rsid w:val="00415F0B"/>
    <w:rPr>
      <w:color w:val="0000FF" w:themeColor="hyperlink"/>
      <w:u w:val="single"/>
    </w:rPr>
  </w:style>
  <w:style w:type="paragraph" w:styleId="ListParagraph">
    <w:name w:val="List Paragraph"/>
    <w:basedOn w:val="Normal"/>
    <w:uiPriority w:val="34"/>
    <w:qFormat/>
    <w:rsid w:val="004F17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9F23E-F5F2-044D-BF02-6F336B92D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1765</TotalTime>
  <Pages>17</Pages>
  <Words>7898</Words>
  <Characters>45020</Characters>
  <Application>Microsoft Macintosh Word</Application>
  <DocSecurity>0</DocSecurity>
  <Lines>375</Lines>
  <Paragraphs>105</Paragraphs>
  <ScaleCrop>false</ScaleCrop>
  <Company/>
  <LinksUpToDate>false</LinksUpToDate>
  <CharactersWithSpaces>52813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States v. Bravo-Fernandez</dc:title>
  <dc:subject/>
  <dc:creator>Applicant Number 120</dc:creator>
  <cp:keywords/>
  <dc:description/>
  <cp:lastModifiedBy>Victoria Burnett</cp:lastModifiedBy>
  <cp:revision>314</cp:revision>
  <cp:lastPrinted>2016-07-11T03:18:00Z</cp:lastPrinted>
  <dcterms:created xsi:type="dcterms:W3CDTF">2016-07-02T19:32:00Z</dcterms:created>
  <dcterms:modified xsi:type="dcterms:W3CDTF">2016-07-11T13:06:00Z</dcterms:modified>
</cp:coreProperties>
</file>